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A" w:rsidRDefault="0017401A">
      <w:pPr>
        <w:rPr>
          <w:sz w:val="20"/>
          <w:szCs w:val="20"/>
        </w:rPr>
      </w:pPr>
    </w:p>
    <w:p w:rsidR="006F5594" w:rsidRPr="009F2023" w:rsidRDefault="00197CCB">
      <w:pPr>
        <w:rPr>
          <w:sz w:val="20"/>
          <w:szCs w:val="20"/>
        </w:rPr>
      </w:pPr>
      <w:r>
        <w:rPr>
          <w:noProof/>
          <w:sz w:val="20"/>
          <w:szCs w:val="20"/>
          <w:lang w:val="en-US"/>
        </w:rPr>
        <w:pict>
          <v:shapetype id="_x0000_t202" coordsize="21600,21600" o:spt="202" path="m,l,21600r21600,l21600,xe">
            <v:stroke joinstyle="miter"/>
            <v:path gradientshapeok="t" o:connecttype="rect"/>
          </v:shapetype>
          <v:shape id="_x0000_s1026" type="#_x0000_t202" style="position:absolute;margin-left:-3.75pt;margin-top:-3.1pt;width:476.9pt;height:26.05pt;z-index:251658240" stroked="f">
            <v:textbox>
              <w:txbxContent>
                <w:p w:rsidR="004E1C5B" w:rsidRPr="009F2023" w:rsidRDefault="00A81834" w:rsidP="00A81834">
                  <w:pPr>
                    <w:jc w:val="center"/>
                    <w:rPr>
                      <w:b/>
                      <w:sz w:val="19"/>
                      <w:szCs w:val="19"/>
                      <w:u w:val="single"/>
                    </w:rPr>
                  </w:pPr>
                  <w:r w:rsidRPr="009F2023">
                    <w:rPr>
                      <w:b/>
                      <w:sz w:val="19"/>
                      <w:szCs w:val="19"/>
                      <w:u w:val="single"/>
                    </w:rPr>
                    <w:t>BUDGET</w:t>
                  </w:r>
                  <w:r w:rsidR="00C16511">
                    <w:rPr>
                      <w:b/>
                      <w:sz w:val="19"/>
                      <w:szCs w:val="19"/>
                      <w:u w:val="single"/>
                    </w:rPr>
                    <w:t xml:space="preserve"> </w:t>
                  </w:r>
                  <w:r w:rsidR="00D701F2">
                    <w:rPr>
                      <w:b/>
                      <w:sz w:val="19"/>
                      <w:szCs w:val="19"/>
                      <w:u w:val="single"/>
                    </w:rPr>
                    <w:t>O</w:t>
                  </w:r>
                  <w:r w:rsidR="00E030C4">
                    <w:rPr>
                      <w:b/>
                      <w:sz w:val="19"/>
                      <w:szCs w:val="19"/>
                      <w:u w:val="single"/>
                    </w:rPr>
                    <w:t>PTIONS</w:t>
                  </w:r>
                  <w:r w:rsidRPr="009F2023">
                    <w:rPr>
                      <w:b/>
                      <w:sz w:val="19"/>
                      <w:szCs w:val="19"/>
                      <w:u w:val="single"/>
                    </w:rPr>
                    <w:t xml:space="preserve"> 201</w:t>
                  </w:r>
                  <w:r w:rsidR="00C16511">
                    <w:rPr>
                      <w:b/>
                      <w:sz w:val="19"/>
                      <w:szCs w:val="19"/>
                      <w:u w:val="single"/>
                    </w:rPr>
                    <w:t>7</w:t>
                  </w:r>
                  <w:r w:rsidRPr="009F2023">
                    <w:rPr>
                      <w:b/>
                      <w:sz w:val="19"/>
                      <w:szCs w:val="19"/>
                      <w:u w:val="single"/>
                    </w:rPr>
                    <w:t>/1</w:t>
                  </w:r>
                  <w:r w:rsidR="00C16511">
                    <w:rPr>
                      <w:b/>
                      <w:sz w:val="19"/>
                      <w:szCs w:val="19"/>
                      <w:u w:val="single"/>
                    </w:rPr>
                    <w:t>8</w:t>
                  </w:r>
                  <w:r w:rsidRPr="009F2023">
                    <w:rPr>
                      <w:b/>
                      <w:sz w:val="19"/>
                      <w:szCs w:val="19"/>
                      <w:u w:val="single"/>
                    </w:rPr>
                    <w:t xml:space="preserve"> AND SETTING OF PRECEPT</w:t>
                  </w:r>
                </w:p>
              </w:txbxContent>
            </v:textbox>
          </v:shape>
        </w:pict>
      </w:r>
    </w:p>
    <w:tbl>
      <w:tblPr>
        <w:tblStyle w:val="TableGrid"/>
        <w:tblW w:w="9747" w:type="dxa"/>
        <w:tblLayout w:type="fixed"/>
        <w:tblLook w:val="04A0"/>
      </w:tblPr>
      <w:tblGrid>
        <w:gridCol w:w="1951"/>
        <w:gridCol w:w="1559"/>
        <w:gridCol w:w="1559"/>
        <w:gridCol w:w="1560"/>
        <w:gridCol w:w="1559"/>
        <w:gridCol w:w="1559"/>
      </w:tblGrid>
      <w:tr w:rsidR="00D701F2" w:rsidRPr="009F2023" w:rsidTr="00D701F2">
        <w:tc>
          <w:tcPr>
            <w:tcW w:w="1951" w:type="dxa"/>
            <w:tcBorders>
              <w:top w:val="nil"/>
              <w:left w:val="nil"/>
            </w:tcBorders>
          </w:tcPr>
          <w:p w:rsidR="00D701F2" w:rsidRPr="009F2023" w:rsidRDefault="00D701F2" w:rsidP="00EB1A54">
            <w:pPr>
              <w:rPr>
                <w:rFonts w:ascii="Calibri" w:eastAsia="Times New Roman" w:hAnsi="Calibri" w:cs="Times New Roman"/>
                <w:color w:val="000000"/>
                <w:sz w:val="20"/>
                <w:szCs w:val="20"/>
                <w:lang w:val="en-US"/>
              </w:rPr>
            </w:pPr>
          </w:p>
        </w:tc>
        <w:tc>
          <w:tcPr>
            <w:tcW w:w="1559" w:type="dxa"/>
          </w:tcPr>
          <w:p w:rsidR="00D701F2" w:rsidRPr="009F2023" w:rsidRDefault="00D701F2" w:rsidP="00B351DB">
            <w:pPr>
              <w:jc w:val="center"/>
              <w:rPr>
                <w:rFonts w:eastAsia="Times New Roman" w:cs="Times New Roman"/>
                <w:b/>
                <w:color w:val="000000"/>
                <w:sz w:val="19"/>
                <w:szCs w:val="19"/>
                <w:lang w:val="en-US"/>
              </w:rPr>
            </w:pPr>
            <w:r w:rsidRPr="009F2023">
              <w:rPr>
                <w:rFonts w:eastAsia="Times New Roman" w:cs="Times New Roman"/>
                <w:b/>
                <w:color w:val="000000"/>
                <w:sz w:val="19"/>
                <w:szCs w:val="19"/>
                <w:lang w:val="en-US"/>
              </w:rPr>
              <w:t>201</w:t>
            </w:r>
            <w:r>
              <w:rPr>
                <w:rFonts w:eastAsia="Times New Roman" w:cs="Times New Roman"/>
                <w:b/>
                <w:color w:val="000000"/>
                <w:sz w:val="19"/>
                <w:szCs w:val="19"/>
                <w:lang w:val="en-US"/>
              </w:rPr>
              <w:t>7/18</w:t>
            </w:r>
            <w:r w:rsidRPr="009F2023">
              <w:rPr>
                <w:rFonts w:eastAsia="Times New Roman" w:cs="Times New Roman"/>
                <w:b/>
                <w:color w:val="000000"/>
                <w:sz w:val="19"/>
                <w:szCs w:val="19"/>
                <w:lang w:val="en-US"/>
              </w:rPr>
              <w:t xml:space="preserve"> Budget</w:t>
            </w:r>
          </w:p>
          <w:p w:rsidR="00D701F2" w:rsidRPr="009F2023" w:rsidRDefault="00D701F2" w:rsidP="00B351DB">
            <w:pPr>
              <w:jc w:val="center"/>
              <w:rPr>
                <w:rFonts w:eastAsia="Times New Roman" w:cs="Times New Roman"/>
                <w:b/>
                <w:color w:val="000000"/>
                <w:sz w:val="19"/>
                <w:szCs w:val="19"/>
                <w:lang w:val="en-US"/>
              </w:rPr>
            </w:pPr>
            <w:r>
              <w:rPr>
                <w:rFonts w:eastAsia="Times New Roman" w:cs="Times New Roman"/>
                <w:b/>
                <w:color w:val="000000"/>
                <w:sz w:val="19"/>
                <w:szCs w:val="19"/>
                <w:lang w:val="en-US"/>
              </w:rPr>
              <w:t>Option(C)</w:t>
            </w:r>
          </w:p>
        </w:tc>
        <w:tc>
          <w:tcPr>
            <w:tcW w:w="1559" w:type="dxa"/>
          </w:tcPr>
          <w:p w:rsidR="00D701F2" w:rsidRPr="009F2023" w:rsidRDefault="00D701F2" w:rsidP="00A016D1">
            <w:pPr>
              <w:jc w:val="center"/>
              <w:rPr>
                <w:rFonts w:eastAsia="Times New Roman" w:cs="Times New Roman"/>
                <w:b/>
                <w:color w:val="000000"/>
                <w:sz w:val="19"/>
                <w:szCs w:val="19"/>
                <w:lang w:val="en-US"/>
              </w:rPr>
            </w:pPr>
            <w:r w:rsidRPr="009F2023">
              <w:rPr>
                <w:rFonts w:eastAsia="Times New Roman" w:cs="Times New Roman"/>
                <w:b/>
                <w:color w:val="000000"/>
                <w:sz w:val="19"/>
                <w:szCs w:val="19"/>
                <w:lang w:val="en-US"/>
              </w:rPr>
              <w:t>201</w:t>
            </w:r>
            <w:r>
              <w:rPr>
                <w:rFonts w:eastAsia="Times New Roman" w:cs="Times New Roman"/>
                <w:b/>
                <w:color w:val="000000"/>
                <w:sz w:val="19"/>
                <w:szCs w:val="19"/>
                <w:lang w:val="en-US"/>
              </w:rPr>
              <w:t>7/18</w:t>
            </w:r>
            <w:r w:rsidRPr="009F2023">
              <w:rPr>
                <w:rFonts w:eastAsia="Times New Roman" w:cs="Times New Roman"/>
                <w:b/>
                <w:color w:val="000000"/>
                <w:sz w:val="19"/>
                <w:szCs w:val="19"/>
                <w:lang w:val="en-US"/>
              </w:rPr>
              <w:t xml:space="preserve"> Budget</w:t>
            </w:r>
          </w:p>
          <w:p w:rsidR="00D701F2" w:rsidRPr="009F2023" w:rsidRDefault="00D701F2" w:rsidP="00FC18FF">
            <w:pPr>
              <w:jc w:val="center"/>
              <w:rPr>
                <w:rFonts w:eastAsia="Times New Roman" w:cs="Times New Roman"/>
                <w:b/>
                <w:color w:val="000000"/>
                <w:sz w:val="19"/>
                <w:szCs w:val="19"/>
                <w:lang w:val="en-US"/>
              </w:rPr>
            </w:pPr>
            <w:r>
              <w:rPr>
                <w:rFonts w:eastAsia="Times New Roman" w:cs="Times New Roman"/>
                <w:b/>
                <w:color w:val="000000"/>
                <w:sz w:val="19"/>
                <w:szCs w:val="19"/>
                <w:lang w:val="en-US"/>
              </w:rPr>
              <w:t>Option(B)</w:t>
            </w:r>
          </w:p>
        </w:tc>
        <w:tc>
          <w:tcPr>
            <w:tcW w:w="1560" w:type="dxa"/>
          </w:tcPr>
          <w:p w:rsidR="00D701F2" w:rsidRPr="009F2023" w:rsidRDefault="00D701F2" w:rsidP="00FC18FF">
            <w:pPr>
              <w:jc w:val="center"/>
              <w:rPr>
                <w:rFonts w:eastAsia="Times New Roman" w:cs="Times New Roman"/>
                <w:b/>
                <w:color w:val="000000"/>
                <w:sz w:val="19"/>
                <w:szCs w:val="19"/>
                <w:lang w:val="en-US"/>
              </w:rPr>
            </w:pPr>
            <w:r w:rsidRPr="009F2023">
              <w:rPr>
                <w:rFonts w:eastAsia="Times New Roman" w:cs="Times New Roman"/>
                <w:b/>
                <w:color w:val="000000"/>
                <w:sz w:val="19"/>
                <w:szCs w:val="19"/>
                <w:lang w:val="en-US"/>
              </w:rPr>
              <w:t>201</w:t>
            </w:r>
            <w:r>
              <w:rPr>
                <w:rFonts w:eastAsia="Times New Roman" w:cs="Times New Roman"/>
                <w:b/>
                <w:color w:val="000000"/>
                <w:sz w:val="19"/>
                <w:szCs w:val="19"/>
                <w:lang w:val="en-US"/>
              </w:rPr>
              <w:t>7/18</w:t>
            </w:r>
            <w:r w:rsidRPr="009F2023">
              <w:rPr>
                <w:rFonts w:eastAsia="Times New Roman" w:cs="Times New Roman"/>
                <w:b/>
                <w:color w:val="000000"/>
                <w:sz w:val="19"/>
                <w:szCs w:val="19"/>
                <w:lang w:val="en-US"/>
              </w:rPr>
              <w:t xml:space="preserve"> Budget</w:t>
            </w:r>
          </w:p>
          <w:p w:rsidR="00D701F2" w:rsidRDefault="00D701F2" w:rsidP="00D701F2">
            <w:pPr>
              <w:jc w:val="center"/>
              <w:rPr>
                <w:rFonts w:ascii="Calibri" w:eastAsia="Times New Roman" w:hAnsi="Calibri" w:cs="Times New Roman"/>
                <w:b/>
                <w:color w:val="000000"/>
                <w:sz w:val="19"/>
                <w:szCs w:val="19"/>
                <w:lang w:val="en-US"/>
              </w:rPr>
            </w:pPr>
            <w:r>
              <w:rPr>
                <w:rFonts w:eastAsia="Times New Roman" w:cs="Times New Roman"/>
                <w:b/>
                <w:color w:val="000000"/>
                <w:sz w:val="19"/>
                <w:szCs w:val="19"/>
                <w:lang w:val="en-US"/>
              </w:rPr>
              <w:t>Option</w:t>
            </w:r>
            <w:r w:rsidRPr="009F2023">
              <w:rPr>
                <w:rFonts w:eastAsia="Times New Roman" w:cs="Times New Roman"/>
                <w:b/>
                <w:color w:val="000000"/>
                <w:sz w:val="19"/>
                <w:szCs w:val="19"/>
                <w:lang w:val="en-US"/>
              </w:rPr>
              <w:t xml:space="preserve"> </w:t>
            </w:r>
            <w:r>
              <w:rPr>
                <w:rFonts w:eastAsia="Times New Roman" w:cs="Times New Roman"/>
                <w:b/>
                <w:color w:val="000000"/>
                <w:sz w:val="19"/>
                <w:szCs w:val="19"/>
                <w:lang w:val="en-US"/>
              </w:rPr>
              <w:t>(A)</w:t>
            </w:r>
          </w:p>
        </w:tc>
        <w:tc>
          <w:tcPr>
            <w:tcW w:w="1559" w:type="dxa"/>
          </w:tcPr>
          <w:p w:rsidR="00D701F2" w:rsidRPr="009F2023" w:rsidRDefault="00D701F2" w:rsidP="00C16511">
            <w:pPr>
              <w:jc w:val="center"/>
              <w:rPr>
                <w:rFonts w:ascii="Calibri" w:eastAsia="Times New Roman" w:hAnsi="Calibri" w:cs="Times New Roman"/>
                <w:b/>
                <w:color w:val="000000"/>
                <w:sz w:val="19"/>
                <w:szCs w:val="19"/>
                <w:lang w:val="en-US"/>
              </w:rPr>
            </w:pPr>
            <w:r>
              <w:rPr>
                <w:rFonts w:ascii="Calibri" w:eastAsia="Times New Roman" w:hAnsi="Calibri" w:cs="Times New Roman"/>
                <w:b/>
                <w:color w:val="000000"/>
                <w:sz w:val="19"/>
                <w:szCs w:val="19"/>
                <w:lang w:val="en-US"/>
              </w:rPr>
              <w:t>2016</w:t>
            </w:r>
            <w:r w:rsidRPr="009F2023">
              <w:rPr>
                <w:rFonts w:ascii="Calibri" w:eastAsia="Times New Roman" w:hAnsi="Calibri" w:cs="Times New Roman"/>
                <w:b/>
                <w:color w:val="000000"/>
                <w:sz w:val="19"/>
                <w:szCs w:val="19"/>
                <w:lang w:val="en-US"/>
              </w:rPr>
              <w:t>/1</w:t>
            </w:r>
            <w:r>
              <w:rPr>
                <w:rFonts w:ascii="Calibri" w:eastAsia="Times New Roman" w:hAnsi="Calibri" w:cs="Times New Roman"/>
                <w:b/>
                <w:color w:val="000000"/>
                <w:sz w:val="19"/>
                <w:szCs w:val="19"/>
                <w:lang w:val="en-US"/>
              </w:rPr>
              <w:t>7</w:t>
            </w:r>
            <w:r w:rsidRPr="009F2023">
              <w:rPr>
                <w:rFonts w:ascii="Calibri" w:eastAsia="Times New Roman" w:hAnsi="Calibri" w:cs="Times New Roman"/>
                <w:b/>
                <w:color w:val="000000"/>
                <w:sz w:val="19"/>
                <w:szCs w:val="19"/>
                <w:lang w:val="en-US"/>
              </w:rPr>
              <w:t xml:space="preserve"> Budget</w:t>
            </w:r>
          </w:p>
        </w:tc>
        <w:tc>
          <w:tcPr>
            <w:tcW w:w="1559" w:type="dxa"/>
          </w:tcPr>
          <w:p w:rsidR="00D701F2" w:rsidRDefault="00D701F2" w:rsidP="00B351DB">
            <w:pPr>
              <w:jc w:val="center"/>
              <w:rPr>
                <w:rFonts w:ascii="Calibri" w:eastAsia="Times New Roman" w:hAnsi="Calibri" w:cs="Times New Roman"/>
                <w:b/>
                <w:color w:val="000000"/>
                <w:sz w:val="19"/>
                <w:szCs w:val="19"/>
                <w:lang w:val="en-US"/>
              </w:rPr>
            </w:pPr>
            <w:r>
              <w:rPr>
                <w:rFonts w:ascii="Calibri" w:eastAsia="Times New Roman" w:hAnsi="Calibri" w:cs="Times New Roman"/>
                <w:b/>
                <w:color w:val="000000"/>
                <w:sz w:val="19"/>
                <w:szCs w:val="19"/>
                <w:lang w:val="en-US"/>
              </w:rPr>
              <w:t>2016/17</w:t>
            </w:r>
            <w:r w:rsidRPr="009F2023">
              <w:rPr>
                <w:rFonts w:ascii="Calibri" w:eastAsia="Times New Roman" w:hAnsi="Calibri" w:cs="Times New Roman"/>
                <w:b/>
                <w:color w:val="000000"/>
                <w:sz w:val="19"/>
                <w:szCs w:val="19"/>
                <w:lang w:val="en-US"/>
              </w:rPr>
              <w:t xml:space="preserve"> Actual /</w:t>
            </w:r>
          </w:p>
          <w:p w:rsidR="00D701F2" w:rsidRPr="009F2023" w:rsidRDefault="00D701F2" w:rsidP="00F91C68">
            <w:pPr>
              <w:jc w:val="center"/>
              <w:rPr>
                <w:rFonts w:ascii="Calibri" w:eastAsia="Times New Roman" w:hAnsi="Calibri" w:cs="Times New Roman"/>
                <w:b/>
                <w:color w:val="000000"/>
                <w:sz w:val="19"/>
                <w:szCs w:val="19"/>
                <w:lang w:val="en-US"/>
              </w:rPr>
            </w:pPr>
            <w:r w:rsidRPr="009F2023">
              <w:rPr>
                <w:rFonts w:ascii="Calibri" w:eastAsia="Times New Roman" w:hAnsi="Calibri" w:cs="Times New Roman"/>
                <w:b/>
                <w:color w:val="000000"/>
                <w:sz w:val="19"/>
                <w:szCs w:val="19"/>
                <w:lang w:val="en-US"/>
              </w:rPr>
              <w:t>forecast expenditure</w:t>
            </w:r>
          </w:p>
        </w:tc>
      </w:tr>
      <w:tr w:rsidR="00D701F2" w:rsidRPr="009F2023" w:rsidTr="00D701F2">
        <w:tc>
          <w:tcPr>
            <w:tcW w:w="1951" w:type="dxa"/>
          </w:tcPr>
          <w:p w:rsidR="00D701F2" w:rsidRPr="009F2023" w:rsidRDefault="00D701F2" w:rsidP="00EB1A54">
            <w:pPr>
              <w:rPr>
                <w:rFonts w:ascii="Calibri" w:eastAsia="Times New Roman" w:hAnsi="Calibri" w:cs="Times New Roman"/>
                <w:color w:val="000000"/>
                <w:sz w:val="19"/>
                <w:szCs w:val="19"/>
                <w:vertAlign w:val="superscript"/>
                <w:lang w:val="en-US"/>
              </w:rPr>
            </w:pPr>
            <w:r w:rsidRPr="009F2023">
              <w:rPr>
                <w:rFonts w:ascii="Calibri" w:eastAsia="Times New Roman" w:hAnsi="Calibri" w:cs="Times New Roman"/>
                <w:color w:val="000000"/>
                <w:sz w:val="19"/>
                <w:szCs w:val="19"/>
                <w:lang w:val="en-US"/>
              </w:rPr>
              <w:t xml:space="preserve">Travel </w:t>
            </w:r>
            <w:r w:rsidRPr="009F2023">
              <w:rPr>
                <w:rFonts w:ascii="Calibri" w:eastAsia="Times New Roman" w:hAnsi="Calibri" w:cs="Times New Roman"/>
                <w:color w:val="000000"/>
                <w:sz w:val="19"/>
                <w:szCs w:val="19"/>
                <w:vertAlign w:val="superscript"/>
                <w:lang w:val="en-US"/>
              </w:rPr>
              <w:t>1</w:t>
            </w:r>
          </w:p>
        </w:tc>
        <w:tc>
          <w:tcPr>
            <w:tcW w:w="1559"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20</w:t>
            </w:r>
          </w:p>
        </w:tc>
        <w:tc>
          <w:tcPr>
            <w:tcW w:w="1559" w:type="dxa"/>
          </w:tcPr>
          <w:p w:rsidR="00D701F2" w:rsidRPr="009F2023" w:rsidRDefault="00D701F2" w:rsidP="00EB1A54">
            <w:pPr>
              <w:jc w:val="right"/>
              <w:rPr>
                <w:rFonts w:eastAsia="Times New Roman" w:cs="Times New Roman"/>
                <w:color w:val="000000"/>
                <w:sz w:val="19"/>
                <w:szCs w:val="19"/>
                <w:lang w:val="en-US"/>
              </w:rPr>
            </w:pPr>
            <w:r>
              <w:rPr>
                <w:rFonts w:eastAsia="Times New Roman" w:cs="Times New Roman"/>
                <w:color w:val="000000"/>
                <w:sz w:val="19"/>
                <w:szCs w:val="19"/>
                <w:lang w:val="en-US"/>
              </w:rPr>
              <w:t>20</w:t>
            </w:r>
          </w:p>
        </w:tc>
        <w:tc>
          <w:tcPr>
            <w:tcW w:w="1560"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20</w:t>
            </w:r>
          </w:p>
        </w:tc>
        <w:tc>
          <w:tcPr>
            <w:tcW w:w="1559" w:type="dxa"/>
          </w:tcPr>
          <w:p w:rsidR="00D701F2" w:rsidRPr="009F2023" w:rsidRDefault="00D701F2" w:rsidP="0062101B">
            <w:pPr>
              <w:jc w:val="right"/>
              <w:rPr>
                <w:rFonts w:eastAsia="Times New Roman" w:cs="Times New Roman"/>
                <w:color w:val="000000"/>
                <w:sz w:val="19"/>
                <w:szCs w:val="19"/>
                <w:lang w:val="en-US"/>
              </w:rPr>
            </w:pPr>
            <w:r>
              <w:rPr>
                <w:rFonts w:eastAsia="Times New Roman" w:cs="Times New Roman"/>
                <w:color w:val="000000"/>
                <w:sz w:val="19"/>
                <w:szCs w:val="19"/>
                <w:lang w:val="en-US"/>
              </w:rPr>
              <w:t>40</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0</w:t>
            </w:r>
          </w:p>
        </w:tc>
      </w:tr>
      <w:tr w:rsidR="00D701F2" w:rsidRPr="009F2023" w:rsidTr="00D701F2">
        <w:tc>
          <w:tcPr>
            <w:tcW w:w="1951" w:type="dxa"/>
          </w:tcPr>
          <w:p w:rsidR="00D701F2" w:rsidRPr="009F2023" w:rsidRDefault="00D701F2" w:rsidP="004E1C5B">
            <w:pPr>
              <w:rPr>
                <w:rFonts w:ascii="Calibri" w:eastAsia="Times New Roman" w:hAnsi="Calibri" w:cs="Times New Roman"/>
                <w:color w:val="000000"/>
                <w:sz w:val="19"/>
                <w:szCs w:val="19"/>
                <w:lang w:val="en-US"/>
              </w:rPr>
            </w:pPr>
            <w:r w:rsidRPr="009F2023">
              <w:rPr>
                <w:rFonts w:ascii="Calibri" w:eastAsia="Times New Roman" w:hAnsi="Calibri" w:cs="Times New Roman"/>
                <w:color w:val="000000"/>
                <w:sz w:val="19"/>
                <w:szCs w:val="19"/>
                <w:lang w:val="en-US"/>
              </w:rPr>
              <w:t>Insurance</w:t>
            </w:r>
            <w:r w:rsidRPr="009F2023">
              <w:rPr>
                <w:rFonts w:ascii="Calibri" w:eastAsia="Times New Roman" w:hAnsi="Calibri" w:cs="Times New Roman"/>
                <w:color w:val="000000"/>
                <w:sz w:val="19"/>
                <w:szCs w:val="19"/>
                <w:vertAlign w:val="superscript"/>
                <w:lang w:val="en-US"/>
              </w:rPr>
              <w:t>2</w:t>
            </w:r>
          </w:p>
        </w:tc>
        <w:tc>
          <w:tcPr>
            <w:tcW w:w="1559"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215</w:t>
            </w:r>
          </w:p>
        </w:tc>
        <w:tc>
          <w:tcPr>
            <w:tcW w:w="1559" w:type="dxa"/>
          </w:tcPr>
          <w:p w:rsidR="00D701F2" w:rsidRPr="009F2023" w:rsidRDefault="00D701F2" w:rsidP="001B3098">
            <w:pPr>
              <w:jc w:val="right"/>
              <w:rPr>
                <w:rFonts w:eastAsia="Times New Roman" w:cs="Times New Roman"/>
                <w:color w:val="000000"/>
                <w:sz w:val="19"/>
                <w:szCs w:val="19"/>
                <w:lang w:val="en-US"/>
              </w:rPr>
            </w:pPr>
            <w:r>
              <w:rPr>
                <w:rFonts w:eastAsia="Times New Roman" w:cs="Times New Roman"/>
                <w:color w:val="000000"/>
                <w:sz w:val="19"/>
                <w:szCs w:val="19"/>
                <w:lang w:val="en-US"/>
              </w:rPr>
              <w:t>215</w:t>
            </w:r>
          </w:p>
        </w:tc>
        <w:tc>
          <w:tcPr>
            <w:tcW w:w="1560" w:type="dxa"/>
          </w:tcPr>
          <w:p w:rsidR="00D701F2" w:rsidRPr="009F2023" w:rsidRDefault="00D701F2" w:rsidP="001B3098">
            <w:pPr>
              <w:jc w:val="right"/>
              <w:rPr>
                <w:rFonts w:eastAsia="Times New Roman" w:cs="Times New Roman"/>
                <w:color w:val="000000"/>
                <w:sz w:val="19"/>
                <w:szCs w:val="19"/>
                <w:lang w:val="en-US"/>
              </w:rPr>
            </w:pPr>
            <w:r>
              <w:rPr>
                <w:rFonts w:eastAsia="Times New Roman" w:cs="Times New Roman"/>
                <w:color w:val="000000"/>
                <w:sz w:val="19"/>
                <w:szCs w:val="19"/>
                <w:lang w:val="en-US"/>
              </w:rPr>
              <w:t>215</w:t>
            </w:r>
          </w:p>
        </w:tc>
        <w:tc>
          <w:tcPr>
            <w:tcW w:w="1559" w:type="dxa"/>
          </w:tcPr>
          <w:p w:rsidR="00D701F2" w:rsidRPr="009F2023" w:rsidRDefault="00D701F2" w:rsidP="0062101B">
            <w:pPr>
              <w:jc w:val="right"/>
              <w:rPr>
                <w:rFonts w:eastAsia="Times New Roman" w:cs="Times New Roman"/>
                <w:color w:val="000000"/>
                <w:sz w:val="19"/>
                <w:szCs w:val="19"/>
                <w:lang w:val="en-US"/>
              </w:rPr>
            </w:pPr>
            <w:r w:rsidRPr="009F2023">
              <w:rPr>
                <w:rFonts w:eastAsia="Times New Roman" w:cs="Times New Roman"/>
                <w:color w:val="000000"/>
                <w:sz w:val="19"/>
                <w:szCs w:val="19"/>
                <w:lang w:val="en-US"/>
              </w:rPr>
              <w:t>211</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211</w:t>
            </w:r>
          </w:p>
        </w:tc>
      </w:tr>
      <w:tr w:rsidR="00D701F2" w:rsidRPr="009F2023" w:rsidTr="00D701F2">
        <w:trPr>
          <w:trHeight w:val="293"/>
        </w:trPr>
        <w:tc>
          <w:tcPr>
            <w:tcW w:w="1951" w:type="dxa"/>
          </w:tcPr>
          <w:p w:rsidR="00D701F2" w:rsidRPr="009F2023" w:rsidRDefault="00D701F2" w:rsidP="004E1C5B">
            <w:pPr>
              <w:rPr>
                <w:rFonts w:ascii="Calibri" w:eastAsia="Times New Roman" w:hAnsi="Calibri" w:cs="Times New Roman"/>
                <w:color w:val="000000"/>
                <w:sz w:val="19"/>
                <w:szCs w:val="19"/>
                <w:lang w:val="en-US"/>
              </w:rPr>
            </w:pPr>
            <w:r w:rsidRPr="009F2023">
              <w:rPr>
                <w:rFonts w:ascii="Calibri" w:eastAsia="Times New Roman" w:hAnsi="Calibri" w:cs="Times New Roman"/>
                <w:color w:val="000000"/>
                <w:sz w:val="19"/>
                <w:szCs w:val="19"/>
                <w:lang w:val="en-US"/>
              </w:rPr>
              <w:t>YALC</w:t>
            </w:r>
            <w:r w:rsidRPr="009F2023">
              <w:rPr>
                <w:rFonts w:ascii="Calibri" w:eastAsia="Times New Roman" w:hAnsi="Calibri" w:cs="Times New Roman"/>
                <w:color w:val="000000"/>
                <w:sz w:val="19"/>
                <w:szCs w:val="19"/>
                <w:vertAlign w:val="superscript"/>
                <w:lang w:val="en-US"/>
              </w:rPr>
              <w:t>3</w:t>
            </w:r>
          </w:p>
        </w:tc>
        <w:tc>
          <w:tcPr>
            <w:tcW w:w="1559"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105</w:t>
            </w:r>
          </w:p>
        </w:tc>
        <w:tc>
          <w:tcPr>
            <w:tcW w:w="1559" w:type="dxa"/>
          </w:tcPr>
          <w:p w:rsidR="00D701F2" w:rsidRPr="009F2023" w:rsidRDefault="00D701F2" w:rsidP="00EB1A54">
            <w:pPr>
              <w:jc w:val="right"/>
              <w:rPr>
                <w:rFonts w:eastAsia="Times New Roman" w:cs="Times New Roman"/>
                <w:color w:val="000000"/>
                <w:sz w:val="19"/>
                <w:szCs w:val="19"/>
                <w:lang w:val="en-US"/>
              </w:rPr>
            </w:pPr>
            <w:r>
              <w:rPr>
                <w:rFonts w:eastAsia="Times New Roman" w:cs="Times New Roman"/>
                <w:color w:val="000000"/>
                <w:sz w:val="19"/>
                <w:szCs w:val="19"/>
                <w:lang w:val="en-US"/>
              </w:rPr>
              <w:t>105</w:t>
            </w:r>
          </w:p>
        </w:tc>
        <w:tc>
          <w:tcPr>
            <w:tcW w:w="1560"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105</w:t>
            </w:r>
          </w:p>
        </w:tc>
        <w:tc>
          <w:tcPr>
            <w:tcW w:w="1559" w:type="dxa"/>
          </w:tcPr>
          <w:p w:rsidR="00D701F2" w:rsidRPr="009F2023" w:rsidRDefault="00D701F2" w:rsidP="0062101B">
            <w:pPr>
              <w:jc w:val="right"/>
              <w:rPr>
                <w:rFonts w:eastAsia="Times New Roman" w:cs="Times New Roman"/>
                <w:color w:val="000000"/>
                <w:sz w:val="19"/>
                <w:szCs w:val="19"/>
                <w:lang w:val="en-US"/>
              </w:rPr>
            </w:pPr>
            <w:r w:rsidRPr="009F2023">
              <w:rPr>
                <w:rFonts w:eastAsia="Times New Roman" w:cs="Times New Roman"/>
                <w:color w:val="000000"/>
                <w:sz w:val="19"/>
                <w:szCs w:val="19"/>
                <w:lang w:val="en-US"/>
              </w:rPr>
              <w:t>45</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45</w:t>
            </w:r>
          </w:p>
        </w:tc>
      </w:tr>
      <w:tr w:rsidR="00D701F2" w:rsidRPr="009F2023" w:rsidTr="00D701F2">
        <w:tc>
          <w:tcPr>
            <w:tcW w:w="1951" w:type="dxa"/>
          </w:tcPr>
          <w:p w:rsidR="00D701F2" w:rsidRPr="009F2023" w:rsidRDefault="00D701F2" w:rsidP="004E1C5B">
            <w:pPr>
              <w:rPr>
                <w:rFonts w:ascii="Calibri" w:eastAsia="Times New Roman" w:hAnsi="Calibri" w:cs="Times New Roman"/>
                <w:color w:val="000000"/>
                <w:sz w:val="19"/>
                <w:szCs w:val="19"/>
                <w:lang w:val="en-US"/>
              </w:rPr>
            </w:pPr>
            <w:r w:rsidRPr="009F2023">
              <w:rPr>
                <w:rFonts w:ascii="Calibri" w:eastAsia="Times New Roman" w:hAnsi="Calibri" w:cs="Times New Roman"/>
                <w:color w:val="000000"/>
                <w:sz w:val="19"/>
                <w:szCs w:val="19"/>
                <w:lang w:val="en-US"/>
              </w:rPr>
              <w:t>Stationery</w:t>
            </w:r>
            <w:r w:rsidRPr="009F2023">
              <w:rPr>
                <w:rFonts w:ascii="Calibri" w:eastAsia="Times New Roman" w:hAnsi="Calibri" w:cs="Times New Roman"/>
                <w:color w:val="000000"/>
                <w:sz w:val="19"/>
                <w:szCs w:val="19"/>
                <w:vertAlign w:val="superscript"/>
                <w:lang w:val="en-US"/>
              </w:rPr>
              <w:t>4</w:t>
            </w:r>
          </w:p>
        </w:tc>
        <w:tc>
          <w:tcPr>
            <w:tcW w:w="1559"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60</w:t>
            </w:r>
          </w:p>
        </w:tc>
        <w:tc>
          <w:tcPr>
            <w:tcW w:w="1559" w:type="dxa"/>
          </w:tcPr>
          <w:p w:rsidR="00D701F2" w:rsidRPr="009F2023" w:rsidRDefault="00D701F2" w:rsidP="00EB1A54">
            <w:pPr>
              <w:jc w:val="right"/>
              <w:rPr>
                <w:rFonts w:eastAsia="Times New Roman" w:cs="Times New Roman"/>
                <w:color w:val="000000"/>
                <w:sz w:val="19"/>
                <w:szCs w:val="19"/>
                <w:lang w:val="en-US"/>
              </w:rPr>
            </w:pPr>
            <w:r>
              <w:rPr>
                <w:rFonts w:eastAsia="Times New Roman" w:cs="Times New Roman"/>
                <w:color w:val="000000"/>
                <w:sz w:val="19"/>
                <w:szCs w:val="19"/>
                <w:lang w:val="en-US"/>
              </w:rPr>
              <w:t>60</w:t>
            </w:r>
          </w:p>
        </w:tc>
        <w:tc>
          <w:tcPr>
            <w:tcW w:w="1560"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60</w:t>
            </w:r>
          </w:p>
        </w:tc>
        <w:tc>
          <w:tcPr>
            <w:tcW w:w="1559" w:type="dxa"/>
          </w:tcPr>
          <w:p w:rsidR="00D701F2" w:rsidRPr="009F2023" w:rsidRDefault="00D701F2" w:rsidP="0062101B">
            <w:pPr>
              <w:jc w:val="right"/>
              <w:rPr>
                <w:rFonts w:eastAsia="Times New Roman" w:cs="Times New Roman"/>
                <w:color w:val="000000"/>
                <w:sz w:val="19"/>
                <w:szCs w:val="19"/>
                <w:lang w:val="en-US"/>
              </w:rPr>
            </w:pPr>
            <w:r w:rsidRPr="009F2023">
              <w:rPr>
                <w:rFonts w:eastAsia="Times New Roman" w:cs="Times New Roman"/>
                <w:color w:val="000000"/>
                <w:sz w:val="19"/>
                <w:szCs w:val="19"/>
                <w:lang w:val="en-US"/>
              </w:rPr>
              <w:t>60</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30</w:t>
            </w:r>
          </w:p>
        </w:tc>
      </w:tr>
      <w:tr w:rsidR="00D701F2" w:rsidRPr="009F2023" w:rsidTr="00D701F2">
        <w:tc>
          <w:tcPr>
            <w:tcW w:w="1951" w:type="dxa"/>
          </w:tcPr>
          <w:p w:rsidR="00D701F2" w:rsidRPr="009F2023" w:rsidRDefault="00D701F2" w:rsidP="009439E0">
            <w:pPr>
              <w:rPr>
                <w:rFonts w:ascii="Calibri" w:eastAsia="Times New Roman" w:hAnsi="Calibri" w:cs="Times New Roman"/>
                <w:color w:val="000000"/>
                <w:sz w:val="19"/>
                <w:szCs w:val="19"/>
                <w:lang w:val="en-US"/>
              </w:rPr>
            </w:pPr>
            <w:r w:rsidRPr="009F2023">
              <w:rPr>
                <w:rFonts w:ascii="Calibri" w:eastAsia="Times New Roman" w:hAnsi="Calibri" w:cs="Times New Roman"/>
                <w:color w:val="000000"/>
                <w:sz w:val="19"/>
                <w:szCs w:val="19"/>
                <w:lang w:val="en-US"/>
              </w:rPr>
              <w:t xml:space="preserve">Website </w:t>
            </w:r>
            <w:r>
              <w:rPr>
                <w:rFonts w:ascii="Calibri" w:eastAsia="Times New Roman" w:hAnsi="Calibri" w:cs="Times New Roman"/>
                <w:color w:val="000000"/>
                <w:sz w:val="19"/>
                <w:szCs w:val="19"/>
                <w:lang w:val="en-US"/>
              </w:rPr>
              <w:t>hosting</w:t>
            </w:r>
            <w:r w:rsidRPr="009F2023">
              <w:rPr>
                <w:rFonts w:ascii="Calibri" w:eastAsia="Times New Roman" w:hAnsi="Calibri" w:cs="Times New Roman"/>
                <w:color w:val="000000"/>
                <w:sz w:val="19"/>
                <w:szCs w:val="19"/>
                <w:vertAlign w:val="superscript"/>
                <w:lang w:val="en-US"/>
              </w:rPr>
              <w:t>5</w:t>
            </w:r>
          </w:p>
        </w:tc>
        <w:tc>
          <w:tcPr>
            <w:tcW w:w="1559" w:type="dxa"/>
          </w:tcPr>
          <w:p w:rsidR="00D701F2" w:rsidRPr="00DC68C6" w:rsidRDefault="00D701F2" w:rsidP="00B351DB">
            <w:pPr>
              <w:jc w:val="right"/>
              <w:rPr>
                <w:rFonts w:eastAsia="Times New Roman" w:cs="Times New Roman"/>
                <w:color w:val="000000"/>
                <w:sz w:val="19"/>
                <w:szCs w:val="19"/>
                <w:lang w:val="en-US"/>
              </w:rPr>
            </w:pPr>
            <w:r w:rsidRPr="00DC68C6">
              <w:rPr>
                <w:rFonts w:eastAsia="Times New Roman" w:cs="Times New Roman"/>
                <w:color w:val="000000"/>
                <w:sz w:val="19"/>
                <w:szCs w:val="19"/>
                <w:lang w:val="en-US"/>
              </w:rPr>
              <w:t>0</w:t>
            </w:r>
          </w:p>
        </w:tc>
        <w:tc>
          <w:tcPr>
            <w:tcW w:w="1559" w:type="dxa"/>
          </w:tcPr>
          <w:p w:rsidR="00D701F2" w:rsidRPr="00DC68C6" w:rsidRDefault="00D701F2" w:rsidP="00EB1A54">
            <w:pPr>
              <w:jc w:val="right"/>
              <w:rPr>
                <w:rFonts w:eastAsia="Times New Roman" w:cs="Times New Roman"/>
                <w:color w:val="000000"/>
                <w:sz w:val="19"/>
                <w:szCs w:val="19"/>
                <w:lang w:val="en-US"/>
              </w:rPr>
            </w:pPr>
            <w:r w:rsidRPr="00DC68C6">
              <w:rPr>
                <w:rFonts w:eastAsia="Times New Roman" w:cs="Times New Roman"/>
                <w:color w:val="000000"/>
                <w:sz w:val="19"/>
                <w:szCs w:val="19"/>
                <w:lang w:val="en-US"/>
              </w:rPr>
              <w:t>120</w:t>
            </w:r>
          </w:p>
        </w:tc>
        <w:tc>
          <w:tcPr>
            <w:tcW w:w="1560"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120</w:t>
            </w:r>
          </w:p>
        </w:tc>
        <w:tc>
          <w:tcPr>
            <w:tcW w:w="1559" w:type="dxa"/>
          </w:tcPr>
          <w:p w:rsidR="00D701F2" w:rsidRPr="009F2023" w:rsidRDefault="00D701F2" w:rsidP="0062101B">
            <w:pPr>
              <w:jc w:val="right"/>
              <w:rPr>
                <w:rFonts w:eastAsia="Times New Roman" w:cs="Times New Roman"/>
                <w:color w:val="000000"/>
                <w:sz w:val="19"/>
                <w:szCs w:val="19"/>
                <w:lang w:val="en-US"/>
              </w:rPr>
            </w:pPr>
            <w:r w:rsidRPr="009F2023">
              <w:rPr>
                <w:rFonts w:eastAsia="Times New Roman" w:cs="Times New Roman"/>
                <w:color w:val="000000"/>
                <w:sz w:val="19"/>
                <w:szCs w:val="19"/>
                <w:lang w:val="en-US"/>
              </w:rPr>
              <w:t>40</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0</w:t>
            </w:r>
          </w:p>
        </w:tc>
      </w:tr>
      <w:tr w:rsidR="00D701F2" w:rsidRPr="009F2023" w:rsidTr="00D701F2">
        <w:tc>
          <w:tcPr>
            <w:tcW w:w="1951" w:type="dxa"/>
          </w:tcPr>
          <w:p w:rsidR="00D701F2" w:rsidRPr="009F2023" w:rsidRDefault="00D701F2" w:rsidP="004E1C5B">
            <w:pPr>
              <w:rPr>
                <w:rFonts w:ascii="Calibri" w:eastAsia="Times New Roman" w:hAnsi="Calibri" w:cs="Times New Roman"/>
                <w:color w:val="000000"/>
                <w:sz w:val="19"/>
                <w:szCs w:val="19"/>
                <w:lang w:val="en-US"/>
              </w:rPr>
            </w:pPr>
            <w:r w:rsidRPr="009F2023">
              <w:rPr>
                <w:rFonts w:ascii="Calibri" w:eastAsia="Times New Roman" w:hAnsi="Calibri" w:cs="Times New Roman"/>
                <w:color w:val="000000"/>
                <w:sz w:val="19"/>
                <w:szCs w:val="19"/>
                <w:lang w:val="en-US"/>
              </w:rPr>
              <w:t>Internal audit</w:t>
            </w:r>
            <w:r w:rsidRPr="009F2023">
              <w:rPr>
                <w:rFonts w:ascii="Calibri" w:eastAsia="Times New Roman" w:hAnsi="Calibri" w:cs="Times New Roman"/>
                <w:color w:val="000000"/>
                <w:sz w:val="19"/>
                <w:szCs w:val="19"/>
                <w:vertAlign w:val="superscript"/>
                <w:lang w:val="en-US"/>
              </w:rPr>
              <w:t>6</w:t>
            </w:r>
          </w:p>
        </w:tc>
        <w:tc>
          <w:tcPr>
            <w:tcW w:w="1559"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40</w:t>
            </w:r>
          </w:p>
        </w:tc>
        <w:tc>
          <w:tcPr>
            <w:tcW w:w="1559" w:type="dxa"/>
          </w:tcPr>
          <w:p w:rsidR="00D701F2" w:rsidRPr="009F2023" w:rsidRDefault="00D701F2" w:rsidP="00EB1A54">
            <w:pPr>
              <w:jc w:val="right"/>
              <w:rPr>
                <w:rFonts w:eastAsia="Times New Roman" w:cs="Times New Roman"/>
                <w:color w:val="000000"/>
                <w:sz w:val="19"/>
                <w:szCs w:val="19"/>
                <w:lang w:val="en-US"/>
              </w:rPr>
            </w:pPr>
            <w:r>
              <w:rPr>
                <w:rFonts w:eastAsia="Times New Roman" w:cs="Times New Roman"/>
                <w:color w:val="000000"/>
                <w:sz w:val="19"/>
                <w:szCs w:val="19"/>
                <w:lang w:val="en-US"/>
              </w:rPr>
              <w:t>40</w:t>
            </w:r>
          </w:p>
        </w:tc>
        <w:tc>
          <w:tcPr>
            <w:tcW w:w="1560" w:type="dxa"/>
          </w:tcPr>
          <w:p w:rsidR="00D701F2" w:rsidRPr="009F2023" w:rsidRDefault="00D701F2" w:rsidP="00B351DB">
            <w:pPr>
              <w:jc w:val="right"/>
              <w:rPr>
                <w:rFonts w:eastAsia="Times New Roman" w:cs="Times New Roman"/>
                <w:color w:val="000000"/>
                <w:sz w:val="19"/>
                <w:szCs w:val="19"/>
                <w:lang w:val="en-US"/>
              </w:rPr>
            </w:pPr>
            <w:r>
              <w:rPr>
                <w:rFonts w:eastAsia="Times New Roman" w:cs="Times New Roman"/>
                <w:color w:val="000000"/>
                <w:sz w:val="19"/>
                <w:szCs w:val="19"/>
                <w:lang w:val="en-US"/>
              </w:rPr>
              <w:t>40</w:t>
            </w:r>
          </w:p>
        </w:tc>
        <w:tc>
          <w:tcPr>
            <w:tcW w:w="1559" w:type="dxa"/>
          </w:tcPr>
          <w:p w:rsidR="00D701F2" w:rsidRPr="009F2023" w:rsidRDefault="00D701F2" w:rsidP="0062101B">
            <w:pPr>
              <w:jc w:val="right"/>
              <w:rPr>
                <w:rFonts w:eastAsia="Times New Roman" w:cs="Times New Roman"/>
                <w:color w:val="000000"/>
                <w:sz w:val="19"/>
                <w:szCs w:val="19"/>
                <w:lang w:val="en-US"/>
              </w:rPr>
            </w:pPr>
            <w:r w:rsidRPr="009F2023">
              <w:rPr>
                <w:rFonts w:eastAsia="Times New Roman" w:cs="Times New Roman"/>
                <w:color w:val="000000"/>
                <w:sz w:val="19"/>
                <w:szCs w:val="19"/>
                <w:lang w:val="en-US"/>
              </w:rPr>
              <w:t>40</w:t>
            </w:r>
          </w:p>
        </w:tc>
        <w:tc>
          <w:tcPr>
            <w:tcW w:w="1559" w:type="dxa"/>
          </w:tcPr>
          <w:p w:rsidR="00D701F2" w:rsidRPr="009F2023" w:rsidRDefault="00D701F2" w:rsidP="00B351DB">
            <w:pPr>
              <w:jc w:val="right"/>
              <w:rPr>
                <w:rFonts w:ascii="Calibri" w:eastAsia="Times New Roman" w:hAnsi="Calibri" w:cs="Times New Roman"/>
                <w:color w:val="000000"/>
                <w:sz w:val="19"/>
                <w:szCs w:val="19"/>
                <w:lang w:val="en-US"/>
              </w:rPr>
            </w:pPr>
            <w:r>
              <w:rPr>
                <w:rFonts w:ascii="Calibri" w:eastAsia="Times New Roman" w:hAnsi="Calibri" w:cs="Times New Roman"/>
                <w:color w:val="000000"/>
                <w:sz w:val="19"/>
                <w:szCs w:val="19"/>
                <w:lang w:val="en-US"/>
              </w:rPr>
              <w:t>40</w:t>
            </w:r>
          </w:p>
        </w:tc>
      </w:tr>
      <w:tr w:rsidR="009C7889" w:rsidRPr="009F2023" w:rsidTr="00D701F2">
        <w:tc>
          <w:tcPr>
            <w:tcW w:w="1951" w:type="dxa"/>
          </w:tcPr>
          <w:p w:rsidR="009C7889" w:rsidRPr="009C7889" w:rsidRDefault="009C7889" w:rsidP="00EB1A54">
            <w:pPr>
              <w:rPr>
                <w:rFonts w:ascii="Calibri" w:eastAsia="Times New Roman" w:hAnsi="Calibri" w:cs="Times New Roman"/>
                <w:bCs/>
                <w:color w:val="000000"/>
                <w:sz w:val="19"/>
                <w:szCs w:val="19"/>
                <w:lang w:val="en-US"/>
              </w:rPr>
            </w:pPr>
            <w:r w:rsidRPr="009C7889">
              <w:rPr>
                <w:rFonts w:ascii="Calibri" w:eastAsia="Times New Roman" w:hAnsi="Calibri" w:cs="Times New Roman"/>
                <w:bCs/>
                <w:color w:val="000000"/>
                <w:sz w:val="19"/>
                <w:szCs w:val="19"/>
                <w:lang w:val="en-US"/>
              </w:rPr>
              <w:t>External audit</w:t>
            </w:r>
            <w:r w:rsidRPr="009C7889">
              <w:rPr>
                <w:rFonts w:ascii="Calibri" w:eastAsia="Times New Roman" w:hAnsi="Calibri" w:cs="Times New Roman"/>
                <w:bCs/>
                <w:color w:val="000000"/>
                <w:sz w:val="19"/>
                <w:szCs w:val="19"/>
                <w:vertAlign w:val="superscript"/>
                <w:lang w:val="en-US"/>
              </w:rPr>
              <w:t>7</w:t>
            </w:r>
          </w:p>
        </w:tc>
        <w:tc>
          <w:tcPr>
            <w:tcW w:w="1559" w:type="dxa"/>
          </w:tcPr>
          <w:p w:rsidR="009C7889" w:rsidRPr="009C7889" w:rsidRDefault="009C7889" w:rsidP="00B351DB">
            <w:pPr>
              <w:jc w:val="right"/>
              <w:rPr>
                <w:sz w:val="19"/>
                <w:szCs w:val="19"/>
              </w:rPr>
            </w:pPr>
            <w:r w:rsidRPr="009C7889">
              <w:rPr>
                <w:sz w:val="19"/>
                <w:szCs w:val="19"/>
              </w:rPr>
              <w:t>36</w:t>
            </w:r>
          </w:p>
        </w:tc>
        <w:tc>
          <w:tcPr>
            <w:tcW w:w="1559" w:type="dxa"/>
          </w:tcPr>
          <w:p w:rsidR="009C7889" w:rsidRPr="009C7889" w:rsidRDefault="009C7889" w:rsidP="00512A8A">
            <w:pPr>
              <w:jc w:val="right"/>
              <w:rPr>
                <w:sz w:val="19"/>
                <w:szCs w:val="19"/>
              </w:rPr>
            </w:pPr>
            <w:r w:rsidRPr="009C7889">
              <w:rPr>
                <w:sz w:val="19"/>
                <w:szCs w:val="19"/>
              </w:rPr>
              <w:t>36</w:t>
            </w:r>
          </w:p>
        </w:tc>
        <w:tc>
          <w:tcPr>
            <w:tcW w:w="1560" w:type="dxa"/>
          </w:tcPr>
          <w:p w:rsidR="009C7889" w:rsidRPr="009C7889" w:rsidRDefault="009C7889" w:rsidP="00EB1A54">
            <w:pPr>
              <w:jc w:val="right"/>
              <w:rPr>
                <w:rFonts w:ascii="Calibri" w:eastAsia="Times New Roman" w:hAnsi="Calibri" w:cs="Times New Roman"/>
                <w:bCs/>
                <w:color w:val="000000"/>
                <w:sz w:val="19"/>
                <w:szCs w:val="19"/>
                <w:lang w:val="en-US"/>
              </w:rPr>
            </w:pPr>
            <w:r w:rsidRPr="009C7889">
              <w:rPr>
                <w:rFonts w:ascii="Calibri" w:eastAsia="Times New Roman" w:hAnsi="Calibri" w:cs="Times New Roman"/>
                <w:bCs/>
                <w:color w:val="000000"/>
                <w:sz w:val="19"/>
                <w:szCs w:val="19"/>
                <w:lang w:val="en-US"/>
              </w:rPr>
              <w:t>36</w:t>
            </w:r>
          </w:p>
        </w:tc>
        <w:tc>
          <w:tcPr>
            <w:tcW w:w="1559" w:type="dxa"/>
          </w:tcPr>
          <w:p w:rsidR="009C7889" w:rsidRPr="009C7889" w:rsidRDefault="009C7889" w:rsidP="0062101B">
            <w:pPr>
              <w:jc w:val="right"/>
              <w:rPr>
                <w:sz w:val="19"/>
                <w:szCs w:val="19"/>
              </w:rPr>
            </w:pPr>
            <w:r w:rsidRPr="009C7889">
              <w:rPr>
                <w:sz w:val="19"/>
                <w:szCs w:val="19"/>
              </w:rPr>
              <w:t>0</w:t>
            </w:r>
          </w:p>
        </w:tc>
        <w:tc>
          <w:tcPr>
            <w:tcW w:w="1559" w:type="dxa"/>
          </w:tcPr>
          <w:p w:rsidR="009C7889" w:rsidRPr="009C7889" w:rsidRDefault="009C7889" w:rsidP="00B351DB">
            <w:pPr>
              <w:jc w:val="right"/>
              <w:rPr>
                <w:rFonts w:ascii="Calibri" w:eastAsia="Times New Roman" w:hAnsi="Calibri" w:cs="Times New Roman"/>
                <w:bCs/>
                <w:color w:val="000000"/>
                <w:sz w:val="19"/>
                <w:szCs w:val="19"/>
                <w:lang w:val="en-US"/>
              </w:rPr>
            </w:pPr>
            <w:r w:rsidRPr="009C7889">
              <w:rPr>
                <w:rFonts w:ascii="Calibri" w:eastAsia="Times New Roman" w:hAnsi="Calibri" w:cs="Times New Roman"/>
                <w:bCs/>
                <w:color w:val="000000"/>
                <w:sz w:val="19"/>
                <w:szCs w:val="19"/>
                <w:lang w:val="en-US"/>
              </w:rPr>
              <w:t>36</w:t>
            </w:r>
          </w:p>
        </w:tc>
      </w:tr>
      <w:tr w:rsidR="00D701F2" w:rsidRPr="009F2023" w:rsidTr="00D701F2">
        <w:tc>
          <w:tcPr>
            <w:tcW w:w="1951" w:type="dxa"/>
          </w:tcPr>
          <w:p w:rsidR="00D701F2" w:rsidRPr="009F2023" w:rsidRDefault="00D701F2" w:rsidP="00EB1A54">
            <w:pPr>
              <w:rPr>
                <w:rFonts w:ascii="Calibri" w:eastAsia="Times New Roman" w:hAnsi="Calibri" w:cs="Times New Roman"/>
                <w:b/>
                <w:bCs/>
                <w:color w:val="000000"/>
                <w:sz w:val="19"/>
                <w:szCs w:val="19"/>
                <w:lang w:val="en-US"/>
              </w:rPr>
            </w:pPr>
          </w:p>
          <w:p w:rsidR="00D701F2" w:rsidRPr="009F2023" w:rsidRDefault="00D701F2" w:rsidP="00EB1A54">
            <w:pPr>
              <w:rPr>
                <w:rFonts w:ascii="Calibri" w:eastAsia="Times New Roman" w:hAnsi="Calibri" w:cs="Times New Roman"/>
                <w:b/>
                <w:bCs/>
                <w:color w:val="000000"/>
                <w:sz w:val="19"/>
                <w:szCs w:val="19"/>
                <w:lang w:val="en-US"/>
              </w:rPr>
            </w:pPr>
            <w:r w:rsidRPr="009F2023">
              <w:rPr>
                <w:rFonts w:ascii="Calibri" w:eastAsia="Times New Roman" w:hAnsi="Calibri" w:cs="Times New Roman"/>
                <w:b/>
                <w:bCs/>
                <w:color w:val="000000"/>
                <w:sz w:val="19"/>
                <w:szCs w:val="19"/>
                <w:lang w:val="en-US"/>
              </w:rPr>
              <w:t>Total non staff</w:t>
            </w:r>
          </w:p>
        </w:tc>
        <w:tc>
          <w:tcPr>
            <w:tcW w:w="1559" w:type="dxa"/>
          </w:tcPr>
          <w:p w:rsidR="00D701F2" w:rsidRDefault="00D701F2" w:rsidP="00B351DB">
            <w:pPr>
              <w:jc w:val="right"/>
              <w:rPr>
                <w:b/>
                <w:sz w:val="19"/>
                <w:szCs w:val="19"/>
              </w:rPr>
            </w:pPr>
          </w:p>
          <w:p w:rsidR="00D701F2" w:rsidRPr="009F2023" w:rsidRDefault="00D701F2" w:rsidP="00B351DB">
            <w:pPr>
              <w:jc w:val="right"/>
              <w:rPr>
                <w:b/>
                <w:sz w:val="19"/>
                <w:szCs w:val="19"/>
              </w:rPr>
            </w:pPr>
            <w:r>
              <w:rPr>
                <w:b/>
                <w:sz w:val="19"/>
                <w:szCs w:val="19"/>
              </w:rPr>
              <w:t>476</w:t>
            </w:r>
          </w:p>
        </w:tc>
        <w:tc>
          <w:tcPr>
            <w:tcW w:w="1559" w:type="dxa"/>
          </w:tcPr>
          <w:p w:rsidR="00D701F2" w:rsidRDefault="00D701F2" w:rsidP="00512A8A">
            <w:pPr>
              <w:jc w:val="right"/>
              <w:rPr>
                <w:b/>
                <w:sz w:val="19"/>
                <w:szCs w:val="19"/>
              </w:rPr>
            </w:pPr>
          </w:p>
          <w:p w:rsidR="00D701F2" w:rsidRPr="009F2023" w:rsidRDefault="00D701F2" w:rsidP="00512A8A">
            <w:pPr>
              <w:jc w:val="right"/>
              <w:rPr>
                <w:b/>
                <w:sz w:val="19"/>
                <w:szCs w:val="19"/>
              </w:rPr>
            </w:pPr>
            <w:r>
              <w:rPr>
                <w:b/>
                <w:sz w:val="19"/>
                <w:szCs w:val="19"/>
              </w:rPr>
              <w:t>596</w:t>
            </w:r>
          </w:p>
        </w:tc>
        <w:tc>
          <w:tcPr>
            <w:tcW w:w="1560" w:type="dxa"/>
          </w:tcPr>
          <w:p w:rsidR="00D701F2" w:rsidRDefault="00D701F2" w:rsidP="00EB1A54">
            <w:pPr>
              <w:jc w:val="right"/>
              <w:rPr>
                <w:rFonts w:ascii="Calibri" w:eastAsia="Times New Roman" w:hAnsi="Calibri" w:cs="Times New Roman"/>
                <w:b/>
                <w:bCs/>
                <w:color w:val="000000"/>
                <w:sz w:val="19"/>
                <w:szCs w:val="19"/>
                <w:lang w:val="en-US"/>
              </w:rPr>
            </w:pPr>
          </w:p>
          <w:p w:rsidR="00D701F2" w:rsidRPr="009F2023" w:rsidRDefault="00D701F2" w:rsidP="00EB1A54">
            <w:pPr>
              <w:jc w:val="right"/>
              <w:rPr>
                <w:rFonts w:ascii="Calibri" w:eastAsia="Times New Roman" w:hAnsi="Calibri" w:cs="Times New Roman"/>
                <w:b/>
                <w:bCs/>
                <w:color w:val="000000"/>
                <w:sz w:val="19"/>
                <w:szCs w:val="19"/>
                <w:lang w:val="en-US"/>
              </w:rPr>
            </w:pPr>
            <w:r>
              <w:rPr>
                <w:rFonts w:ascii="Calibri" w:eastAsia="Times New Roman" w:hAnsi="Calibri" w:cs="Times New Roman"/>
                <w:b/>
                <w:bCs/>
                <w:color w:val="000000"/>
                <w:sz w:val="19"/>
                <w:szCs w:val="19"/>
                <w:lang w:val="en-US"/>
              </w:rPr>
              <w:t>596</w:t>
            </w:r>
          </w:p>
        </w:tc>
        <w:tc>
          <w:tcPr>
            <w:tcW w:w="1559" w:type="dxa"/>
          </w:tcPr>
          <w:p w:rsidR="00D701F2" w:rsidRPr="009F2023" w:rsidRDefault="00D701F2" w:rsidP="0062101B">
            <w:pPr>
              <w:jc w:val="right"/>
              <w:rPr>
                <w:b/>
                <w:sz w:val="19"/>
                <w:szCs w:val="19"/>
              </w:rPr>
            </w:pPr>
            <w:r w:rsidRPr="009F2023">
              <w:rPr>
                <w:sz w:val="19"/>
                <w:szCs w:val="19"/>
              </w:rPr>
              <w:t xml:space="preserve">                                     </w:t>
            </w:r>
            <w:r w:rsidRPr="009F2023">
              <w:rPr>
                <w:b/>
                <w:sz w:val="19"/>
                <w:szCs w:val="19"/>
              </w:rPr>
              <w:t>436</w:t>
            </w:r>
          </w:p>
        </w:tc>
        <w:tc>
          <w:tcPr>
            <w:tcW w:w="1559" w:type="dxa"/>
          </w:tcPr>
          <w:p w:rsidR="00D701F2" w:rsidRDefault="00D701F2" w:rsidP="00B351DB">
            <w:pPr>
              <w:jc w:val="right"/>
              <w:rPr>
                <w:rFonts w:ascii="Calibri" w:eastAsia="Times New Roman" w:hAnsi="Calibri" w:cs="Times New Roman"/>
                <w:b/>
                <w:bCs/>
                <w:color w:val="000000"/>
                <w:sz w:val="19"/>
                <w:szCs w:val="19"/>
                <w:lang w:val="en-US"/>
              </w:rPr>
            </w:pPr>
          </w:p>
          <w:p w:rsidR="00D701F2" w:rsidRPr="009F2023" w:rsidRDefault="00D701F2" w:rsidP="00B351DB">
            <w:pPr>
              <w:jc w:val="right"/>
              <w:rPr>
                <w:rFonts w:ascii="Calibri" w:eastAsia="Times New Roman" w:hAnsi="Calibri" w:cs="Times New Roman"/>
                <w:b/>
                <w:bCs/>
                <w:color w:val="000000"/>
                <w:sz w:val="19"/>
                <w:szCs w:val="19"/>
                <w:lang w:val="en-US"/>
              </w:rPr>
            </w:pPr>
            <w:r>
              <w:rPr>
                <w:rFonts w:ascii="Calibri" w:eastAsia="Times New Roman" w:hAnsi="Calibri" w:cs="Times New Roman"/>
                <w:b/>
                <w:bCs/>
                <w:color w:val="000000"/>
                <w:sz w:val="19"/>
                <w:szCs w:val="19"/>
                <w:lang w:val="en-US"/>
              </w:rPr>
              <w:t>362</w:t>
            </w:r>
          </w:p>
        </w:tc>
      </w:tr>
      <w:tr w:rsidR="00D701F2" w:rsidRPr="009F2023" w:rsidTr="00D701F2">
        <w:tc>
          <w:tcPr>
            <w:tcW w:w="1951" w:type="dxa"/>
          </w:tcPr>
          <w:p w:rsidR="00D701F2" w:rsidRPr="009F2023" w:rsidRDefault="00D701F2" w:rsidP="00EB1A54">
            <w:pPr>
              <w:rPr>
                <w:rFonts w:ascii="Calibri" w:eastAsia="Times New Roman" w:hAnsi="Calibri" w:cs="Times New Roman"/>
                <w:b/>
                <w:bCs/>
                <w:color w:val="000000"/>
                <w:sz w:val="19"/>
                <w:szCs w:val="19"/>
                <w:lang w:val="en-US"/>
              </w:rPr>
            </w:pPr>
          </w:p>
        </w:tc>
        <w:tc>
          <w:tcPr>
            <w:tcW w:w="1559" w:type="dxa"/>
          </w:tcPr>
          <w:p w:rsidR="00D701F2" w:rsidRPr="009F2023" w:rsidRDefault="00D701F2" w:rsidP="00B351DB">
            <w:pPr>
              <w:rPr>
                <w:sz w:val="19"/>
                <w:szCs w:val="19"/>
              </w:rPr>
            </w:pPr>
          </w:p>
        </w:tc>
        <w:tc>
          <w:tcPr>
            <w:tcW w:w="1559" w:type="dxa"/>
          </w:tcPr>
          <w:p w:rsidR="00D701F2" w:rsidRPr="009F2023" w:rsidRDefault="00D701F2">
            <w:pPr>
              <w:rPr>
                <w:sz w:val="19"/>
                <w:szCs w:val="19"/>
              </w:rPr>
            </w:pPr>
          </w:p>
        </w:tc>
        <w:tc>
          <w:tcPr>
            <w:tcW w:w="1560" w:type="dxa"/>
          </w:tcPr>
          <w:p w:rsidR="00D701F2" w:rsidRPr="009F2023" w:rsidRDefault="00D701F2" w:rsidP="00EB1A54">
            <w:pPr>
              <w:jc w:val="right"/>
              <w:rPr>
                <w:rFonts w:ascii="Calibri" w:eastAsia="Times New Roman" w:hAnsi="Calibri" w:cs="Times New Roman"/>
                <w:b/>
                <w:bCs/>
                <w:color w:val="000000"/>
                <w:sz w:val="19"/>
                <w:szCs w:val="19"/>
                <w:lang w:val="en-US"/>
              </w:rPr>
            </w:pPr>
          </w:p>
        </w:tc>
        <w:tc>
          <w:tcPr>
            <w:tcW w:w="1559" w:type="dxa"/>
          </w:tcPr>
          <w:p w:rsidR="00D701F2" w:rsidRPr="009F2023" w:rsidRDefault="00D701F2" w:rsidP="0062101B">
            <w:pPr>
              <w:rPr>
                <w:sz w:val="19"/>
                <w:szCs w:val="19"/>
              </w:rPr>
            </w:pPr>
          </w:p>
        </w:tc>
        <w:tc>
          <w:tcPr>
            <w:tcW w:w="1559" w:type="dxa"/>
          </w:tcPr>
          <w:p w:rsidR="00D701F2" w:rsidRPr="009F2023" w:rsidRDefault="00D701F2" w:rsidP="00B351DB">
            <w:pPr>
              <w:jc w:val="right"/>
              <w:rPr>
                <w:rFonts w:ascii="Calibri" w:eastAsia="Times New Roman" w:hAnsi="Calibri" w:cs="Times New Roman"/>
                <w:b/>
                <w:bCs/>
                <w:color w:val="000000"/>
                <w:sz w:val="19"/>
                <w:szCs w:val="19"/>
                <w:lang w:val="en-US"/>
              </w:rPr>
            </w:pPr>
          </w:p>
        </w:tc>
      </w:tr>
      <w:tr w:rsidR="00D701F2" w:rsidRPr="009F2023" w:rsidTr="00D701F2">
        <w:tc>
          <w:tcPr>
            <w:tcW w:w="1951" w:type="dxa"/>
          </w:tcPr>
          <w:p w:rsidR="00D701F2" w:rsidRPr="009F2023" w:rsidRDefault="00D701F2" w:rsidP="00196BBE">
            <w:pPr>
              <w:rPr>
                <w:rFonts w:ascii="Calibri" w:eastAsia="Times New Roman" w:hAnsi="Calibri" w:cs="Times New Roman"/>
                <w:bCs/>
                <w:color w:val="000000"/>
                <w:sz w:val="19"/>
                <w:szCs w:val="19"/>
                <w:lang w:val="en-US"/>
              </w:rPr>
            </w:pPr>
            <w:r w:rsidRPr="009F2023">
              <w:rPr>
                <w:rFonts w:ascii="Calibri" w:eastAsia="Times New Roman" w:hAnsi="Calibri" w:cs="Times New Roman"/>
                <w:bCs/>
                <w:color w:val="000000"/>
                <w:sz w:val="19"/>
                <w:szCs w:val="19"/>
                <w:lang w:val="en-US"/>
              </w:rPr>
              <w:t>Clerk Remuneration</w:t>
            </w:r>
            <w:r w:rsidR="00196BBE">
              <w:rPr>
                <w:rFonts w:ascii="Calibri" w:eastAsia="Times New Roman" w:hAnsi="Calibri" w:cs="Times New Roman"/>
                <w:bCs/>
                <w:color w:val="000000"/>
                <w:sz w:val="19"/>
                <w:szCs w:val="19"/>
                <w:vertAlign w:val="superscript"/>
                <w:lang w:val="en-US"/>
              </w:rPr>
              <w:t>8</w:t>
            </w:r>
            <w:r w:rsidRPr="009F2023">
              <w:rPr>
                <w:rFonts w:ascii="Calibri" w:eastAsia="Times New Roman" w:hAnsi="Calibri" w:cs="Times New Roman"/>
                <w:bCs/>
                <w:color w:val="000000"/>
                <w:sz w:val="19"/>
                <w:szCs w:val="19"/>
                <w:lang w:val="en-US"/>
              </w:rPr>
              <w:t xml:space="preserve"> (gross)</w:t>
            </w:r>
          </w:p>
        </w:tc>
        <w:tc>
          <w:tcPr>
            <w:tcW w:w="1559" w:type="dxa"/>
          </w:tcPr>
          <w:p w:rsidR="00D701F2" w:rsidRDefault="00D701F2" w:rsidP="00B351DB">
            <w:pPr>
              <w:jc w:val="right"/>
              <w:rPr>
                <w:sz w:val="17"/>
                <w:szCs w:val="17"/>
              </w:rPr>
            </w:pPr>
            <w:r>
              <w:rPr>
                <w:sz w:val="17"/>
                <w:szCs w:val="17"/>
              </w:rPr>
              <w:t>£704</w:t>
            </w:r>
          </w:p>
          <w:p w:rsidR="00D701F2" w:rsidRDefault="00D701F2" w:rsidP="00B351DB">
            <w:pPr>
              <w:jc w:val="right"/>
              <w:rPr>
                <w:sz w:val="17"/>
                <w:szCs w:val="17"/>
              </w:rPr>
            </w:pPr>
            <w:r>
              <w:rPr>
                <w:sz w:val="17"/>
                <w:szCs w:val="17"/>
              </w:rPr>
              <w:t xml:space="preserve"> (75 hrs)</w:t>
            </w:r>
          </w:p>
          <w:p w:rsidR="00D701F2" w:rsidRPr="009F2023" w:rsidRDefault="00D701F2" w:rsidP="00B351DB">
            <w:pPr>
              <w:jc w:val="right"/>
              <w:rPr>
                <w:sz w:val="17"/>
                <w:szCs w:val="17"/>
              </w:rPr>
            </w:pPr>
          </w:p>
        </w:tc>
        <w:tc>
          <w:tcPr>
            <w:tcW w:w="1559" w:type="dxa"/>
          </w:tcPr>
          <w:p w:rsidR="00D701F2" w:rsidRPr="00DC68C6" w:rsidRDefault="00D701F2" w:rsidP="00512A8A">
            <w:pPr>
              <w:jc w:val="right"/>
              <w:rPr>
                <w:sz w:val="17"/>
                <w:szCs w:val="17"/>
              </w:rPr>
            </w:pPr>
            <w:r w:rsidRPr="00DC68C6">
              <w:rPr>
                <w:sz w:val="17"/>
                <w:szCs w:val="17"/>
              </w:rPr>
              <w:t>£704</w:t>
            </w:r>
          </w:p>
          <w:p w:rsidR="00D701F2" w:rsidRPr="00DC68C6" w:rsidRDefault="00D701F2" w:rsidP="00512A8A">
            <w:pPr>
              <w:jc w:val="right"/>
              <w:rPr>
                <w:sz w:val="17"/>
                <w:szCs w:val="17"/>
              </w:rPr>
            </w:pPr>
            <w:r w:rsidRPr="00DC68C6">
              <w:rPr>
                <w:sz w:val="17"/>
                <w:szCs w:val="17"/>
              </w:rPr>
              <w:t xml:space="preserve"> (75 hrs)</w:t>
            </w:r>
          </w:p>
          <w:p w:rsidR="00D701F2" w:rsidRPr="00DC68C6" w:rsidRDefault="00D701F2" w:rsidP="00FC18FF">
            <w:pPr>
              <w:jc w:val="right"/>
              <w:rPr>
                <w:sz w:val="17"/>
                <w:szCs w:val="17"/>
              </w:rPr>
            </w:pPr>
          </w:p>
        </w:tc>
        <w:tc>
          <w:tcPr>
            <w:tcW w:w="1560" w:type="dxa"/>
          </w:tcPr>
          <w:p w:rsidR="00D701F2" w:rsidRPr="00DC68C6" w:rsidRDefault="00D701F2" w:rsidP="00FC18FF">
            <w:pPr>
              <w:jc w:val="right"/>
              <w:rPr>
                <w:sz w:val="17"/>
                <w:szCs w:val="17"/>
              </w:rPr>
            </w:pPr>
            <w:r w:rsidRPr="00DC68C6">
              <w:rPr>
                <w:sz w:val="17"/>
                <w:szCs w:val="17"/>
              </w:rPr>
              <w:t>£657</w:t>
            </w:r>
          </w:p>
          <w:p w:rsidR="00D701F2" w:rsidRPr="00DC68C6" w:rsidRDefault="00D701F2" w:rsidP="00FC18FF">
            <w:pPr>
              <w:jc w:val="right"/>
              <w:rPr>
                <w:sz w:val="17"/>
                <w:szCs w:val="17"/>
              </w:rPr>
            </w:pPr>
            <w:r w:rsidRPr="00DC68C6">
              <w:rPr>
                <w:sz w:val="17"/>
                <w:szCs w:val="17"/>
              </w:rPr>
              <w:t xml:space="preserve"> (70hrs)</w:t>
            </w:r>
          </w:p>
          <w:p w:rsidR="00D701F2" w:rsidRPr="00DC68C6" w:rsidRDefault="00D701F2" w:rsidP="00EB1A54">
            <w:pPr>
              <w:jc w:val="right"/>
              <w:rPr>
                <w:rFonts w:ascii="Calibri" w:eastAsia="Times New Roman" w:hAnsi="Calibri" w:cs="Times New Roman"/>
                <w:bCs/>
                <w:color w:val="000000"/>
                <w:sz w:val="19"/>
                <w:szCs w:val="19"/>
                <w:lang w:val="en-US"/>
              </w:rPr>
            </w:pPr>
          </w:p>
        </w:tc>
        <w:tc>
          <w:tcPr>
            <w:tcW w:w="1559" w:type="dxa"/>
          </w:tcPr>
          <w:p w:rsidR="00D701F2" w:rsidRPr="009F2023" w:rsidRDefault="00D701F2" w:rsidP="0062101B">
            <w:pPr>
              <w:jc w:val="right"/>
              <w:rPr>
                <w:sz w:val="19"/>
                <w:szCs w:val="19"/>
              </w:rPr>
            </w:pPr>
            <w:r w:rsidRPr="009F2023">
              <w:rPr>
                <w:sz w:val="19"/>
                <w:szCs w:val="19"/>
              </w:rPr>
              <w:t>650</w:t>
            </w:r>
          </w:p>
          <w:p w:rsidR="00D701F2" w:rsidRPr="009F2023" w:rsidRDefault="00D701F2" w:rsidP="0062101B">
            <w:pPr>
              <w:jc w:val="right"/>
              <w:rPr>
                <w:sz w:val="17"/>
                <w:szCs w:val="17"/>
              </w:rPr>
            </w:pPr>
            <w:r w:rsidRPr="009F2023">
              <w:rPr>
                <w:sz w:val="17"/>
                <w:szCs w:val="17"/>
              </w:rPr>
              <w:t>(70hrs)</w:t>
            </w:r>
          </w:p>
        </w:tc>
        <w:tc>
          <w:tcPr>
            <w:tcW w:w="1559" w:type="dxa"/>
          </w:tcPr>
          <w:p w:rsidR="00D701F2" w:rsidRDefault="00D701F2" w:rsidP="00B351DB">
            <w:pPr>
              <w:jc w:val="right"/>
              <w:rPr>
                <w:rFonts w:ascii="Calibri" w:eastAsia="Times New Roman" w:hAnsi="Calibri" w:cs="Times New Roman"/>
                <w:bCs/>
                <w:color w:val="000000"/>
                <w:sz w:val="19"/>
                <w:szCs w:val="19"/>
                <w:lang w:val="en-US"/>
              </w:rPr>
            </w:pPr>
            <w:r>
              <w:rPr>
                <w:rFonts w:ascii="Calibri" w:eastAsia="Times New Roman" w:hAnsi="Calibri" w:cs="Times New Roman"/>
                <w:bCs/>
                <w:color w:val="000000"/>
                <w:sz w:val="19"/>
                <w:szCs w:val="19"/>
                <w:lang w:val="en-US"/>
              </w:rPr>
              <w:t>650</w:t>
            </w:r>
          </w:p>
          <w:p w:rsidR="00D701F2" w:rsidRPr="009F2023" w:rsidRDefault="00D701F2" w:rsidP="00B351DB">
            <w:pPr>
              <w:jc w:val="right"/>
              <w:rPr>
                <w:rFonts w:ascii="Calibri" w:eastAsia="Times New Roman" w:hAnsi="Calibri" w:cs="Times New Roman"/>
                <w:bCs/>
                <w:color w:val="000000"/>
                <w:sz w:val="19"/>
                <w:szCs w:val="19"/>
                <w:lang w:val="en-US"/>
              </w:rPr>
            </w:pPr>
            <w:r w:rsidRPr="009F2023">
              <w:rPr>
                <w:sz w:val="17"/>
                <w:szCs w:val="17"/>
              </w:rPr>
              <w:t>(70hrs</w:t>
            </w:r>
            <w:r>
              <w:rPr>
                <w:sz w:val="17"/>
                <w:szCs w:val="17"/>
              </w:rPr>
              <w:t xml:space="preserve"> notional</w:t>
            </w:r>
            <w:r w:rsidRPr="009F2023">
              <w:rPr>
                <w:sz w:val="17"/>
                <w:szCs w:val="17"/>
              </w:rPr>
              <w:t>)</w:t>
            </w:r>
          </w:p>
        </w:tc>
      </w:tr>
      <w:tr w:rsidR="00D701F2" w:rsidRPr="009F2023" w:rsidTr="00D701F2">
        <w:tc>
          <w:tcPr>
            <w:tcW w:w="1951" w:type="dxa"/>
          </w:tcPr>
          <w:p w:rsidR="00D701F2" w:rsidRPr="009F2023" w:rsidRDefault="00D701F2" w:rsidP="00196BBE">
            <w:pPr>
              <w:rPr>
                <w:rFonts w:ascii="Calibri" w:eastAsia="Times New Roman" w:hAnsi="Calibri" w:cs="Times New Roman"/>
                <w:b/>
                <w:bCs/>
                <w:color w:val="000000"/>
                <w:sz w:val="19"/>
                <w:szCs w:val="19"/>
                <w:vertAlign w:val="superscript"/>
                <w:lang w:val="en-US"/>
              </w:rPr>
            </w:pPr>
            <w:r w:rsidRPr="009F2023">
              <w:rPr>
                <w:rFonts w:ascii="Calibri" w:eastAsia="Times New Roman" w:hAnsi="Calibri" w:cs="Times New Roman"/>
                <w:b/>
                <w:bCs/>
                <w:color w:val="000000"/>
                <w:sz w:val="19"/>
                <w:szCs w:val="19"/>
                <w:lang w:val="en-US"/>
              </w:rPr>
              <w:t>Total funding Requirement</w:t>
            </w:r>
            <w:r w:rsidR="00196BBE">
              <w:rPr>
                <w:rFonts w:ascii="Calibri" w:eastAsia="Times New Roman" w:hAnsi="Calibri" w:cs="Times New Roman"/>
                <w:bCs/>
                <w:color w:val="000000"/>
                <w:sz w:val="19"/>
                <w:szCs w:val="19"/>
                <w:vertAlign w:val="superscript"/>
                <w:lang w:val="en-US"/>
              </w:rPr>
              <w:t>9</w:t>
            </w:r>
          </w:p>
        </w:tc>
        <w:tc>
          <w:tcPr>
            <w:tcW w:w="1559" w:type="dxa"/>
          </w:tcPr>
          <w:p w:rsidR="00D701F2" w:rsidRPr="009F2023" w:rsidRDefault="00D701F2" w:rsidP="00D701F2">
            <w:pPr>
              <w:jc w:val="right"/>
              <w:rPr>
                <w:b/>
                <w:sz w:val="19"/>
                <w:szCs w:val="19"/>
              </w:rPr>
            </w:pPr>
            <w:r>
              <w:rPr>
                <w:b/>
                <w:sz w:val="19"/>
                <w:szCs w:val="19"/>
              </w:rPr>
              <w:t>1180</w:t>
            </w:r>
          </w:p>
        </w:tc>
        <w:tc>
          <w:tcPr>
            <w:tcW w:w="1559" w:type="dxa"/>
          </w:tcPr>
          <w:p w:rsidR="00D701F2" w:rsidRPr="009F2023" w:rsidRDefault="00D701F2" w:rsidP="001B3098">
            <w:pPr>
              <w:jc w:val="right"/>
              <w:rPr>
                <w:b/>
                <w:sz w:val="19"/>
                <w:szCs w:val="19"/>
              </w:rPr>
            </w:pPr>
            <w:r>
              <w:rPr>
                <w:b/>
                <w:sz w:val="19"/>
                <w:szCs w:val="19"/>
              </w:rPr>
              <w:t>1300</w:t>
            </w:r>
          </w:p>
        </w:tc>
        <w:tc>
          <w:tcPr>
            <w:tcW w:w="1560" w:type="dxa"/>
          </w:tcPr>
          <w:p w:rsidR="00D701F2" w:rsidRPr="009F2023" w:rsidRDefault="00D701F2" w:rsidP="001B3098">
            <w:pPr>
              <w:jc w:val="right"/>
              <w:rPr>
                <w:rFonts w:ascii="Calibri" w:eastAsia="Times New Roman" w:hAnsi="Calibri" w:cs="Times New Roman"/>
                <w:b/>
                <w:bCs/>
                <w:color w:val="000000"/>
                <w:sz w:val="19"/>
                <w:szCs w:val="19"/>
                <w:lang w:val="en-US"/>
              </w:rPr>
            </w:pPr>
            <w:r>
              <w:rPr>
                <w:rFonts w:ascii="Calibri" w:eastAsia="Times New Roman" w:hAnsi="Calibri" w:cs="Times New Roman"/>
                <w:b/>
                <w:bCs/>
                <w:color w:val="000000"/>
                <w:sz w:val="19"/>
                <w:szCs w:val="19"/>
                <w:lang w:val="en-US"/>
              </w:rPr>
              <w:t>1253</w:t>
            </w:r>
          </w:p>
        </w:tc>
        <w:tc>
          <w:tcPr>
            <w:tcW w:w="1559" w:type="dxa"/>
          </w:tcPr>
          <w:p w:rsidR="00D701F2" w:rsidRPr="009F2023" w:rsidRDefault="00D701F2" w:rsidP="0062101B">
            <w:pPr>
              <w:jc w:val="right"/>
              <w:rPr>
                <w:b/>
                <w:sz w:val="19"/>
                <w:szCs w:val="19"/>
              </w:rPr>
            </w:pPr>
            <w:r w:rsidRPr="009F2023">
              <w:rPr>
                <w:b/>
                <w:sz w:val="19"/>
                <w:szCs w:val="19"/>
              </w:rPr>
              <w:t>1086</w:t>
            </w:r>
          </w:p>
        </w:tc>
        <w:tc>
          <w:tcPr>
            <w:tcW w:w="1559" w:type="dxa"/>
          </w:tcPr>
          <w:p w:rsidR="00D701F2" w:rsidRPr="009F2023" w:rsidRDefault="00D701F2" w:rsidP="00B351DB">
            <w:pPr>
              <w:jc w:val="right"/>
              <w:rPr>
                <w:rFonts w:ascii="Calibri" w:eastAsia="Times New Roman" w:hAnsi="Calibri" w:cs="Times New Roman"/>
                <w:b/>
                <w:bCs/>
                <w:color w:val="000000"/>
                <w:sz w:val="19"/>
                <w:szCs w:val="19"/>
                <w:lang w:val="en-US"/>
              </w:rPr>
            </w:pPr>
            <w:r>
              <w:rPr>
                <w:rFonts w:ascii="Calibri" w:eastAsia="Times New Roman" w:hAnsi="Calibri" w:cs="Times New Roman"/>
                <w:b/>
                <w:bCs/>
                <w:color w:val="000000"/>
                <w:sz w:val="19"/>
                <w:szCs w:val="19"/>
                <w:lang w:val="en-US"/>
              </w:rPr>
              <w:t>1012</w:t>
            </w:r>
          </w:p>
        </w:tc>
      </w:tr>
      <w:tr w:rsidR="00D701F2" w:rsidRPr="009F2023" w:rsidTr="00D701F2">
        <w:tc>
          <w:tcPr>
            <w:tcW w:w="1951" w:type="dxa"/>
          </w:tcPr>
          <w:p w:rsidR="00D701F2" w:rsidRPr="009F2023" w:rsidRDefault="00D701F2" w:rsidP="00EB1A54">
            <w:pPr>
              <w:rPr>
                <w:rFonts w:ascii="Calibri" w:eastAsia="Times New Roman" w:hAnsi="Calibri" w:cs="Times New Roman"/>
                <w:b/>
                <w:bCs/>
                <w:color w:val="000000"/>
                <w:sz w:val="19"/>
                <w:szCs w:val="19"/>
                <w:lang w:val="en-US"/>
              </w:rPr>
            </w:pPr>
            <w:r w:rsidRPr="009F2023">
              <w:rPr>
                <w:rFonts w:ascii="Calibri" w:eastAsia="Times New Roman" w:hAnsi="Calibri" w:cs="Times New Roman"/>
                <w:b/>
                <w:bCs/>
                <w:color w:val="000000"/>
                <w:sz w:val="19"/>
                <w:szCs w:val="19"/>
                <w:lang w:val="en-US"/>
              </w:rPr>
              <w:t>Resulting Band D Tax</w:t>
            </w:r>
          </w:p>
        </w:tc>
        <w:tc>
          <w:tcPr>
            <w:tcW w:w="1559" w:type="dxa"/>
          </w:tcPr>
          <w:p w:rsidR="00D701F2" w:rsidRPr="00BF1C56" w:rsidRDefault="00D701F2" w:rsidP="00B351DB">
            <w:pPr>
              <w:ind w:left="720"/>
              <w:jc w:val="right"/>
              <w:rPr>
                <w:b/>
                <w:sz w:val="19"/>
                <w:szCs w:val="19"/>
              </w:rPr>
            </w:pPr>
            <w:r>
              <w:rPr>
                <w:b/>
                <w:sz w:val="19"/>
                <w:szCs w:val="19"/>
              </w:rPr>
              <w:t>19.69</w:t>
            </w:r>
          </w:p>
        </w:tc>
        <w:tc>
          <w:tcPr>
            <w:tcW w:w="1559" w:type="dxa"/>
          </w:tcPr>
          <w:p w:rsidR="00D701F2" w:rsidRPr="00BF1C56" w:rsidRDefault="00D701F2" w:rsidP="001B3098">
            <w:pPr>
              <w:ind w:left="720"/>
              <w:jc w:val="right"/>
              <w:rPr>
                <w:b/>
                <w:sz w:val="19"/>
                <w:szCs w:val="19"/>
              </w:rPr>
            </w:pPr>
            <w:r>
              <w:rPr>
                <w:b/>
                <w:sz w:val="19"/>
                <w:szCs w:val="19"/>
              </w:rPr>
              <w:t>21.76</w:t>
            </w:r>
          </w:p>
        </w:tc>
        <w:tc>
          <w:tcPr>
            <w:tcW w:w="1560" w:type="dxa"/>
          </w:tcPr>
          <w:p w:rsidR="00D701F2" w:rsidRPr="00586546" w:rsidRDefault="00D701F2" w:rsidP="00EB1A54">
            <w:pPr>
              <w:jc w:val="right"/>
              <w:rPr>
                <w:rFonts w:ascii="Calibri" w:eastAsia="Times New Roman" w:hAnsi="Calibri" w:cs="Times New Roman"/>
                <w:b/>
                <w:bCs/>
                <w:color w:val="000000"/>
                <w:sz w:val="19"/>
                <w:szCs w:val="19"/>
                <w:lang w:val="en-US"/>
              </w:rPr>
            </w:pPr>
            <w:r>
              <w:rPr>
                <w:rFonts w:ascii="Calibri" w:eastAsia="Times New Roman" w:hAnsi="Calibri" w:cs="Times New Roman"/>
                <w:b/>
                <w:bCs/>
                <w:color w:val="000000"/>
                <w:sz w:val="19"/>
                <w:szCs w:val="19"/>
                <w:lang w:val="en-US"/>
              </w:rPr>
              <w:t>20.95</w:t>
            </w:r>
          </w:p>
        </w:tc>
        <w:tc>
          <w:tcPr>
            <w:tcW w:w="1559" w:type="dxa"/>
          </w:tcPr>
          <w:p w:rsidR="00D701F2" w:rsidRPr="00BF1C56" w:rsidRDefault="00D701F2" w:rsidP="00D701F2">
            <w:pPr>
              <w:jc w:val="right"/>
              <w:rPr>
                <w:b/>
                <w:sz w:val="19"/>
                <w:szCs w:val="19"/>
              </w:rPr>
            </w:pPr>
            <w:r>
              <w:rPr>
                <w:b/>
                <w:sz w:val="19"/>
                <w:szCs w:val="19"/>
              </w:rPr>
              <w:t xml:space="preserve">           </w:t>
            </w:r>
            <w:r w:rsidRPr="00BF1C56">
              <w:rPr>
                <w:b/>
                <w:sz w:val="19"/>
                <w:szCs w:val="19"/>
              </w:rPr>
              <w:t>19.05</w:t>
            </w:r>
          </w:p>
        </w:tc>
        <w:tc>
          <w:tcPr>
            <w:tcW w:w="1559" w:type="dxa"/>
          </w:tcPr>
          <w:p w:rsidR="00D701F2" w:rsidRPr="009F2023" w:rsidRDefault="00D701F2" w:rsidP="00B351DB">
            <w:pPr>
              <w:jc w:val="right"/>
              <w:rPr>
                <w:rFonts w:ascii="Calibri" w:eastAsia="Times New Roman" w:hAnsi="Calibri" w:cs="Times New Roman"/>
                <w:bCs/>
                <w:color w:val="000000"/>
                <w:sz w:val="19"/>
                <w:szCs w:val="19"/>
                <w:lang w:val="en-US"/>
              </w:rPr>
            </w:pPr>
          </w:p>
        </w:tc>
      </w:tr>
      <w:tr w:rsidR="00D701F2" w:rsidRPr="009F2023" w:rsidTr="00D701F2">
        <w:tc>
          <w:tcPr>
            <w:tcW w:w="1951" w:type="dxa"/>
          </w:tcPr>
          <w:p w:rsidR="00D701F2" w:rsidRPr="009F2023" w:rsidRDefault="00D701F2" w:rsidP="00EB1A54">
            <w:pPr>
              <w:rPr>
                <w:rFonts w:ascii="Calibri" w:eastAsia="Times New Roman" w:hAnsi="Calibri" w:cs="Times New Roman"/>
                <w:b/>
                <w:bCs/>
                <w:color w:val="000000"/>
                <w:sz w:val="19"/>
                <w:szCs w:val="19"/>
                <w:lang w:val="en-US"/>
              </w:rPr>
            </w:pPr>
            <w:r w:rsidRPr="009F2023">
              <w:rPr>
                <w:rFonts w:ascii="Calibri" w:eastAsia="Times New Roman" w:hAnsi="Calibri" w:cs="Times New Roman"/>
                <w:b/>
                <w:bCs/>
                <w:color w:val="000000"/>
                <w:sz w:val="19"/>
                <w:szCs w:val="19"/>
                <w:lang w:val="en-US"/>
              </w:rPr>
              <w:t>Band D tax increase</w:t>
            </w:r>
            <w:r w:rsidR="002805BE">
              <w:rPr>
                <w:rFonts w:ascii="Calibri" w:eastAsia="Times New Roman" w:hAnsi="Calibri" w:cs="Times New Roman"/>
                <w:b/>
                <w:bCs/>
                <w:color w:val="000000"/>
                <w:sz w:val="19"/>
                <w:szCs w:val="19"/>
                <w:lang w:val="en-US"/>
              </w:rPr>
              <w:t xml:space="preserve"> over previous year</w:t>
            </w:r>
          </w:p>
        </w:tc>
        <w:tc>
          <w:tcPr>
            <w:tcW w:w="1559" w:type="dxa"/>
          </w:tcPr>
          <w:p w:rsidR="00D701F2" w:rsidRPr="009F2023" w:rsidRDefault="00F91C68" w:rsidP="00F91C68">
            <w:pPr>
              <w:jc w:val="right"/>
              <w:rPr>
                <w:sz w:val="19"/>
                <w:szCs w:val="19"/>
              </w:rPr>
            </w:pPr>
            <w:r>
              <w:rPr>
                <w:sz w:val="19"/>
                <w:szCs w:val="19"/>
              </w:rPr>
              <w:t>3.36</w:t>
            </w:r>
            <w:r w:rsidR="00D701F2">
              <w:rPr>
                <w:sz w:val="19"/>
                <w:szCs w:val="19"/>
              </w:rPr>
              <w:t>%</w:t>
            </w:r>
          </w:p>
        </w:tc>
        <w:tc>
          <w:tcPr>
            <w:tcW w:w="1559" w:type="dxa"/>
          </w:tcPr>
          <w:p w:rsidR="00D701F2" w:rsidRPr="009F2023" w:rsidRDefault="00D701F2" w:rsidP="001B3098">
            <w:pPr>
              <w:jc w:val="right"/>
              <w:rPr>
                <w:sz w:val="19"/>
                <w:szCs w:val="19"/>
              </w:rPr>
            </w:pPr>
            <w:r>
              <w:rPr>
                <w:sz w:val="19"/>
                <w:szCs w:val="19"/>
              </w:rPr>
              <w:t>14.23%</w:t>
            </w:r>
          </w:p>
        </w:tc>
        <w:tc>
          <w:tcPr>
            <w:tcW w:w="1560" w:type="dxa"/>
          </w:tcPr>
          <w:p w:rsidR="00D701F2" w:rsidRPr="009F2023" w:rsidRDefault="00D701F2" w:rsidP="00EB1A54">
            <w:pPr>
              <w:jc w:val="right"/>
              <w:rPr>
                <w:rFonts w:ascii="Calibri" w:eastAsia="Times New Roman" w:hAnsi="Calibri" w:cs="Times New Roman"/>
                <w:bCs/>
                <w:color w:val="000000"/>
                <w:sz w:val="19"/>
                <w:szCs w:val="19"/>
                <w:lang w:val="en-US"/>
              </w:rPr>
            </w:pPr>
            <w:r>
              <w:rPr>
                <w:rFonts w:ascii="Calibri" w:eastAsia="Times New Roman" w:hAnsi="Calibri" w:cs="Times New Roman"/>
                <w:bCs/>
                <w:color w:val="000000"/>
                <w:sz w:val="19"/>
                <w:szCs w:val="19"/>
                <w:lang w:val="en-US"/>
              </w:rPr>
              <w:t>9.97%</w:t>
            </w:r>
          </w:p>
        </w:tc>
        <w:tc>
          <w:tcPr>
            <w:tcW w:w="1559" w:type="dxa"/>
          </w:tcPr>
          <w:p w:rsidR="00D701F2" w:rsidRPr="009F2023" w:rsidRDefault="00D701F2" w:rsidP="002805BE">
            <w:pPr>
              <w:jc w:val="right"/>
              <w:rPr>
                <w:sz w:val="19"/>
                <w:szCs w:val="19"/>
              </w:rPr>
            </w:pPr>
            <w:r w:rsidRPr="009F2023">
              <w:rPr>
                <w:sz w:val="19"/>
                <w:szCs w:val="19"/>
              </w:rPr>
              <w:t xml:space="preserve">15% </w:t>
            </w:r>
          </w:p>
        </w:tc>
        <w:tc>
          <w:tcPr>
            <w:tcW w:w="1559" w:type="dxa"/>
          </w:tcPr>
          <w:p w:rsidR="00D701F2" w:rsidRPr="009F2023" w:rsidRDefault="00D701F2" w:rsidP="00B351DB">
            <w:pPr>
              <w:jc w:val="right"/>
              <w:rPr>
                <w:rFonts w:ascii="Calibri" w:eastAsia="Times New Roman" w:hAnsi="Calibri" w:cs="Times New Roman"/>
                <w:bCs/>
                <w:color w:val="000000"/>
                <w:sz w:val="19"/>
                <w:szCs w:val="19"/>
                <w:lang w:val="en-US"/>
              </w:rPr>
            </w:pPr>
          </w:p>
        </w:tc>
      </w:tr>
    </w:tbl>
    <w:p w:rsidR="00512A8A" w:rsidRDefault="00512A8A" w:rsidP="00EF60AC">
      <w:pPr>
        <w:rPr>
          <w:sz w:val="20"/>
          <w:szCs w:val="20"/>
        </w:rPr>
      </w:pPr>
    </w:p>
    <w:tbl>
      <w:tblPr>
        <w:tblStyle w:val="TableGrid"/>
        <w:tblW w:w="9606" w:type="dxa"/>
        <w:tblLayout w:type="fixed"/>
        <w:tblLook w:val="04A0"/>
      </w:tblPr>
      <w:tblGrid>
        <w:gridCol w:w="675"/>
        <w:gridCol w:w="8931"/>
      </w:tblGrid>
      <w:tr w:rsidR="00F91C68" w:rsidRPr="009F2023" w:rsidTr="00B351DB">
        <w:tc>
          <w:tcPr>
            <w:tcW w:w="675" w:type="dxa"/>
          </w:tcPr>
          <w:p w:rsidR="00F91C68" w:rsidRPr="009F2023" w:rsidRDefault="00F91C68" w:rsidP="00B351DB">
            <w:pPr>
              <w:rPr>
                <w:sz w:val="19"/>
                <w:szCs w:val="19"/>
              </w:rPr>
            </w:pPr>
            <w:r w:rsidRPr="009F2023">
              <w:rPr>
                <w:sz w:val="19"/>
                <w:szCs w:val="19"/>
              </w:rPr>
              <w:t>Note</w:t>
            </w:r>
          </w:p>
        </w:tc>
        <w:tc>
          <w:tcPr>
            <w:tcW w:w="8931" w:type="dxa"/>
          </w:tcPr>
          <w:p w:rsidR="00F91C68" w:rsidRPr="009F2023" w:rsidRDefault="00F91C68" w:rsidP="00B351DB">
            <w:pPr>
              <w:rPr>
                <w:sz w:val="19"/>
                <w:szCs w:val="19"/>
              </w:rPr>
            </w:pPr>
          </w:p>
        </w:tc>
      </w:tr>
      <w:tr w:rsidR="00F91C68" w:rsidRPr="009F2023" w:rsidTr="00B351DB">
        <w:tc>
          <w:tcPr>
            <w:tcW w:w="675" w:type="dxa"/>
          </w:tcPr>
          <w:p w:rsidR="00F91C68" w:rsidRPr="009F2023" w:rsidRDefault="00F91C68" w:rsidP="00B351DB">
            <w:pPr>
              <w:rPr>
                <w:sz w:val="19"/>
                <w:szCs w:val="19"/>
              </w:rPr>
            </w:pPr>
            <w:r w:rsidRPr="009F2023">
              <w:rPr>
                <w:sz w:val="19"/>
                <w:szCs w:val="19"/>
              </w:rPr>
              <w:t>1</w:t>
            </w:r>
          </w:p>
        </w:tc>
        <w:tc>
          <w:tcPr>
            <w:tcW w:w="8931" w:type="dxa"/>
          </w:tcPr>
          <w:p w:rsidR="00F91C68" w:rsidRPr="009F2023" w:rsidRDefault="00F91C68" w:rsidP="00B351DB">
            <w:pPr>
              <w:rPr>
                <w:sz w:val="19"/>
                <w:szCs w:val="19"/>
              </w:rPr>
            </w:pPr>
            <w:r w:rsidRPr="009F2023">
              <w:rPr>
                <w:sz w:val="19"/>
                <w:szCs w:val="19"/>
              </w:rPr>
              <w:t>Travel costs have not been incurred in the current year to date.</w:t>
            </w:r>
          </w:p>
        </w:tc>
      </w:tr>
      <w:tr w:rsidR="00F91C68" w:rsidRPr="009F2023" w:rsidTr="00B351DB">
        <w:tc>
          <w:tcPr>
            <w:tcW w:w="675" w:type="dxa"/>
          </w:tcPr>
          <w:p w:rsidR="00F91C68" w:rsidRPr="009F2023" w:rsidRDefault="00F91C68" w:rsidP="00B351DB">
            <w:pPr>
              <w:rPr>
                <w:sz w:val="19"/>
                <w:szCs w:val="19"/>
              </w:rPr>
            </w:pPr>
            <w:r w:rsidRPr="009F2023">
              <w:rPr>
                <w:sz w:val="19"/>
                <w:szCs w:val="19"/>
              </w:rPr>
              <w:t>2</w:t>
            </w:r>
          </w:p>
        </w:tc>
        <w:tc>
          <w:tcPr>
            <w:tcW w:w="8931" w:type="dxa"/>
          </w:tcPr>
          <w:p w:rsidR="00F91C68" w:rsidRPr="009F2023" w:rsidRDefault="00F91C68" w:rsidP="00F91C68">
            <w:pPr>
              <w:rPr>
                <w:sz w:val="19"/>
                <w:szCs w:val="19"/>
              </w:rPr>
            </w:pPr>
            <w:r w:rsidRPr="009F2023">
              <w:rPr>
                <w:sz w:val="19"/>
                <w:szCs w:val="19"/>
              </w:rPr>
              <w:t>This is a quote from current insurer (Zurich</w:t>
            </w:r>
            <w:proofErr w:type="gramStart"/>
            <w:r w:rsidRPr="009F2023">
              <w:rPr>
                <w:sz w:val="19"/>
                <w:szCs w:val="19"/>
              </w:rPr>
              <w:t>) .</w:t>
            </w:r>
            <w:proofErr w:type="gramEnd"/>
          </w:p>
        </w:tc>
      </w:tr>
      <w:tr w:rsidR="00F91C68" w:rsidRPr="009F2023" w:rsidTr="00B351DB">
        <w:tc>
          <w:tcPr>
            <w:tcW w:w="675" w:type="dxa"/>
          </w:tcPr>
          <w:p w:rsidR="00F91C68" w:rsidRPr="009F2023" w:rsidRDefault="00F91C68" w:rsidP="00B351DB">
            <w:pPr>
              <w:rPr>
                <w:sz w:val="19"/>
                <w:szCs w:val="19"/>
              </w:rPr>
            </w:pPr>
            <w:r w:rsidRPr="009F2023">
              <w:rPr>
                <w:sz w:val="19"/>
                <w:szCs w:val="19"/>
              </w:rPr>
              <w:t>3</w:t>
            </w:r>
          </w:p>
        </w:tc>
        <w:tc>
          <w:tcPr>
            <w:tcW w:w="8931" w:type="dxa"/>
          </w:tcPr>
          <w:p w:rsidR="00F91C68" w:rsidRPr="009F2023" w:rsidRDefault="00D32404" w:rsidP="00D32404">
            <w:pPr>
              <w:rPr>
                <w:sz w:val="19"/>
                <w:szCs w:val="19"/>
              </w:rPr>
            </w:pPr>
            <w:proofErr w:type="gramStart"/>
            <w:r>
              <w:rPr>
                <w:sz w:val="19"/>
                <w:szCs w:val="19"/>
              </w:rPr>
              <w:t xml:space="preserve">YALC </w:t>
            </w:r>
            <w:r w:rsidR="00CF1647">
              <w:rPr>
                <w:sz w:val="19"/>
                <w:szCs w:val="19"/>
              </w:rPr>
              <w:t xml:space="preserve"> (</w:t>
            </w:r>
            <w:proofErr w:type="gramEnd"/>
            <w:r w:rsidR="00CF1647">
              <w:rPr>
                <w:sz w:val="19"/>
                <w:szCs w:val="19"/>
              </w:rPr>
              <w:t xml:space="preserve">Yorkshire Association of Local Councils) </w:t>
            </w:r>
            <w:r>
              <w:rPr>
                <w:sz w:val="19"/>
                <w:szCs w:val="19"/>
              </w:rPr>
              <w:t>says it has been subsidising increases in subs in recent years to help small PCs adjust their budgets. We are challenging the amount. Given that we spend nothing on Clerk training/updating</w:t>
            </w:r>
            <w:r w:rsidR="00196BBE">
              <w:rPr>
                <w:sz w:val="19"/>
                <w:szCs w:val="19"/>
              </w:rPr>
              <w:t>,</w:t>
            </w:r>
            <w:r>
              <w:rPr>
                <w:sz w:val="19"/>
                <w:szCs w:val="19"/>
              </w:rPr>
              <w:t xml:space="preserve"> YALC is the only means of ensuring we are abreast of legislation, access to grants etc.</w:t>
            </w:r>
          </w:p>
        </w:tc>
      </w:tr>
      <w:tr w:rsidR="00F91C68" w:rsidRPr="009F2023" w:rsidTr="00B351DB">
        <w:tc>
          <w:tcPr>
            <w:tcW w:w="675" w:type="dxa"/>
          </w:tcPr>
          <w:p w:rsidR="00F91C68" w:rsidRPr="009F2023" w:rsidRDefault="00F91C68" w:rsidP="00B351DB">
            <w:pPr>
              <w:rPr>
                <w:sz w:val="19"/>
                <w:szCs w:val="19"/>
              </w:rPr>
            </w:pPr>
            <w:r w:rsidRPr="009F2023">
              <w:rPr>
                <w:sz w:val="19"/>
                <w:szCs w:val="19"/>
              </w:rPr>
              <w:t>4</w:t>
            </w:r>
          </w:p>
        </w:tc>
        <w:tc>
          <w:tcPr>
            <w:tcW w:w="8931" w:type="dxa"/>
          </w:tcPr>
          <w:p w:rsidR="00F91C68" w:rsidRPr="009F2023" w:rsidRDefault="00D32404" w:rsidP="00D32404">
            <w:pPr>
              <w:rPr>
                <w:sz w:val="19"/>
                <w:szCs w:val="19"/>
              </w:rPr>
            </w:pPr>
            <w:r>
              <w:rPr>
                <w:sz w:val="19"/>
                <w:szCs w:val="19"/>
              </w:rPr>
              <w:t>Most of or communication</w:t>
            </w:r>
            <w:r w:rsidR="00196BBE">
              <w:rPr>
                <w:sz w:val="19"/>
                <w:szCs w:val="19"/>
              </w:rPr>
              <w:t xml:space="preserve"> this year</w:t>
            </w:r>
            <w:r>
              <w:rPr>
                <w:sz w:val="19"/>
                <w:szCs w:val="19"/>
              </w:rPr>
              <w:t xml:space="preserve"> has been electronic</w:t>
            </w:r>
            <w:r w:rsidR="00F91C68" w:rsidRPr="009F2023">
              <w:rPr>
                <w:sz w:val="19"/>
                <w:szCs w:val="19"/>
              </w:rPr>
              <w:t>.</w:t>
            </w:r>
            <w:r>
              <w:rPr>
                <w:sz w:val="19"/>
                <w:szCs w:val="19"/>
              </w:rPr>
              <w:t xml:space="preserve"> </w:t>
            </w:r>
          </w:p>
        </w:tc>
      </w:tr>
      <w:tr w:rsidR="00F91C68" w:rsidRPr="009F2023" w:rsidTr="00B351DB">
        <w:tc>
          <w:tcPr>
            <w:tcW w:w="675" w:type="dxa"/>
          </w:tcPr>
          <w:p w:rsidR="00F91C68" w:rsidRPr="009F2023" w:rsidRDefault="00F91C68" w:rsidP="00B351DB">
            <w:pPr>
              <w:rPr>
                <w:sz w:val="19"/>
                <w:szCs w:val="19"/>
              </w:rPr>
            </w:pPr>
            <w:r w:rsidRPr="009F2023">
              <w:rPr>
                <w:sz w:val="19"/>
                <w:szCs w:val="19"/>
              </w:rPr>
              <w:t>5</w:t>
            </w:r>
          </w:p>
        </w:tc>
        <w:tc>
          <w:tcPr>
            <w:tcW w:w="8931" w:type="dxa"/>
          </w:tcPr>
          <w:p w:rsidR="00F91C68" w:rsidRPr="009F2023" w:rsidRDefault="00D32404" w:rsidP="008B42F3">
            <w:pPr>
              <w:rPr>
                <w:sz w:val="19"/>
                <w:szCs w:val="19"/>
              </w:rPr>
            </w:pPr>
            <w:r>
              <w:rPr>
                <w:sz w:val="19"/>
                <w:szCs w:val="19"/>
              </w:rPr>
              <w:t xml:space="preserve">LPCs </w:t>
            </w:r>
            <w:r w:rsidR="002805BE">
              <w:rPr>
                <w:sz w:val="19"/>
                <w:szCs w:val="19"/>
              </w:rPr>
              <w:t xml:space="preserve">are </w:t>
            </w:r>
            <w:r w:rsidR="00196BBE">
              <w:rPr>
                <w:sz w:val="19"/>
                <w:szCs w:val="19"/>
              </w:rPr>
              <w:t xml:space="preserve">now </w:t>
            </w:r>
            <w:r>
              <w:rPr>
                <w:sz w:val="19"/>
                <w:szCs w:val="19"/>
              </w:rPr>
              <w:t>encouraged to use one of the</w:t>
            </w:r>
            <w:r w:rsidR="00F91C68" w:rsidRPr="009F2023">
              <w:rPr>
                <w:sz w:val="19"/>
                <w:szCs w:val="19"/>
              </w:rPr>
              <w:t xml:space="preserve"> </w:t>
            </w:r>
            <w:r>
              <w:rPr>
                <w:sz w:val="19"/>
                <w:szCs w:val="19"/>
              </w:rPr>
              <w:t>standard providers of purpos</w:t>
            </w:r>
            <w:r w:rsidR="00196BBE">
              <w:rPr>
                <w:sz w:val="19"/>
                <w:szCs w:val="19"/>
              </w:rPr>
              <w:t>e-</w:t>
            </w:r>
            <w:r>
              <w:rPr>
                <w:sz w:val="19"/>
                <w:szCs w:val="19"/>
              </w:rPr>
              <w:t xml:space="preserve">designed parish council websites </w:t>
            </w:r>
            <w:r w:rsidR="002805BE">
              <w:rPr>
                <w:sz w:val="19"/>
                <w:szCs w:val="19"/>
              </w:rPr>
              <w:t xml:space="preserve">with </w:t>
            </w:r>
            <w:r w:rsidR="00196BBE">
              <w:rPr>
                <w:sz w:val="19"/>
                <w:szCs w:val="19"/>
              </w:rPr>
              <w:t>requisite</w:t>
            </w:r>
            <w:r w:rsidR="002805BE">
              <w:rPr>
                <w:sz w:val="19"/>
                <w:szCs w:val="19"/>
              </w:rPr>
              <w:t xml:space="preserve"> security features etc</w:t>
            </w:r>
            <w:r>
              <w:rPr>
                <w:sz w:val="19"/>
                <w:szCs w:val="19"/>
              </w:rPr>
              <w:t xml:space="preserve"> and a grant </w:t>
            </w:r>
            <w:r w:rsidR="002805BE">
              <w:rPr>
                <w:sz w:val="19"/>
                <w:szCs w:val="19"/>
              </w:rPr>
              <w:t xml:space="preserve">is </w:t>
            </w:r>
            <w:r>
              <w:rPr>
                <w:sz w:val="19"/>
                <w:szCs w:val="19"/>
              </w:rPr>
              <w:t xml:space="preserve">provided to </w:t>
            </w:r>
            <w:r w:rsidR="00196BBE">
              <w:rPr>
                <w:sz w:val="19"/>
                <w:szCs w:val="19"/>
              </w:rPr>
              <w:t>set up, pay PC clerical time and host the site</w:t>
            </w:r>
            <w:r>
              <w:rPr>
                <w:sz w:val="19"/>
                <w:szCs w:val="19"/>
              </w:rPr>
              <w:t xml:space="preserve">. </w:t>
            </w:r>
            <w:r w:rsidR="002805BE">
              <w:rPr>
                <w:sz w:val="19"/>
                <w:szCs w:val="19"/>
              </w:rPr>
              <w:t>At £10/month t</w:t>
            </w:r>
            <w:r>
              <w:rPr>
                <w:sz w:val="19"/>
                <w:szCs w:val="19"/>
              </w:rPr>
              <w:t xml:space="preserve">he </w:t>
            </w:r>
            <w:r w:rsidR="002805BE">
              <w:rPr>
                <w:sz w:val="19"/>
                <w:szCs w:val="19"/>
              </w:rPr>
              <w:t xml:space="preserve">resulting </w:t>
            </w:r>
            <w:r>
              <w:rPr>
                <w:sz w:val="19"/>
                <w:szCs w:val="19"/>
              </w:rPr>
              <w:t>hosting costs are more than we paid for</w:t>
            </w:r>
            <w:r w:rsidR="00196BBE">
              <w:rPr>
                <w:sz w:val="19"/>
                <w:szCs w:val="19"/>
              </w:rPr>
              <w:t xml:space="preserve"> the </w:t>
            </w:r>
            <w:r>
              <w:rPr>
                <w:sz w:val="19"/>
                <w:szCs w:val="19"/>
              </w:rPr>
              <w:t xml:space="preserve"> basic hosting of previous website. The grant </w:t>
            </w:r>
            <w:r w:rsidR="00196BBE">
              <w:rPr>
                <w:sz w:val="19"/>
                <w:szCs w:val="19"/>
              </w:rPr>
              <w:t xml:space="preserve">pays for </w:t>
            </w:r>
            <w:r w:rsidR="002805BE">
              <w:rPr>
                <w:sz w:val="19"/>
                <w:szCs w:val="19"/>
              </w:rPr>
              <w:t>the hosting costs</w:t>
            </w:r>
            <w:r>
              <w:rPr>
                <w:sz w:val="19"/>
                <w:szCs w:val="19"/>
              </w:rPr>
              <w:t xml:space="preserve"> in current year and </w:t>
            </w:r>
            <w:r w:rsidR="002805BE">
              <w:rPr>
                <w:sz w:val="19"/>
                <w:szCs w:val="19"/>
              </w:rPr>
              <w:t xml:space="preserve">the </w:t>
            </w:r>
            <w:r>
              <w:rPr>
                <w:sz w:val="19"/>
                <w:szCs w:val="19"/>
              </w:rPr>
              <w:t>indication</w:t>
            </w:r>
            <w:r w:rsidR="002805BE">
              <w:rPr>
                <w:sz w:val="19"/>
                <w:szCs w:val="19"/>
              </w:rPr>
              <w:t xml:space="preserve">s are </w:t>
            </w:r>
            <w:r>
              <w:rPr>
                <w:sz w:val="19"/>
                <w:szCs w:val="19"/>
              </w:rPr>
              <w:t>that the grant will be available next year</w:t>
            </w:r>
            <w:r w:rsidR="002805BE">
              <w:rPr>
                <w:sz w:val="19"/>
                <w:szCs w:val="19"/>
              </w:rPr>
              <w:t>.</w:t>
            </w:r>
          </w:p>
        </w:tc>
      </w:tr>
      <w:tr w:rsidR="00F91C68" w:rsidRPr="009F2023" w:rsidTr="00B351DB">
        <w:tc>
          <w:tcPr>
            <w:tcW w:w="675" w:type="dxa"/>
          </w:tcPr>
          <w:p w:rsidR="00F91C68" w:rsidRPr="009F2023" w:rsidRDefault="00F91C68" w:rsidP="00B351DB">
            <w:pPr>
              <w:rPr>
                <w:sz w:val="19"/>
                <w:szCs w:val="19"/>
              </w:rPr>
            </w:pPr>
            <w:r w:rsidRPr="009F2023">
              <w:rPr>
                <w:sz w:val="19"/>
                <w:szCs w:val="19"/>
              </w:rPr>
              <w:t>6</w:t>
            </w:r>
          </w:p>
        </w:tc>
        <w:tc>
          <w:tcPr>
            <w:tcW w:w="8931" w:type="dxa"/>
          </w:tcPr>
          <w:p w:rsidR="00F91C68" w:rsidRPr="009F2023" w:rsidRDefault="00F91C68" w:rsidP="002805BE">
            <w:pPr>
              <w:rPr>
                <w:sz w:val="19"/>
                <w:szCs w:val="19"/>
              </w:rPr>
            </w:pPr>
            <w:r w:rsidRPr="009F2023">
              <w:rPr>
                <w:sz w:val="19"/>
                <w:szCs w:val="19"/>
              </w:rPr>
              <w:t xml:space="preserve">A discretionary payment </w:t>
            </w:r>
            <w:r w:rsidR="00D32404">
              <w:rPr>
                <w:sz w:val="19"/>
                <w:szCs w:val="19"/>
              </w:rPr>
              <w:t>as</w:t>
            </w:r>
            <w:r w:rsidR="002805BE">
              <w:rPr>
                <w:sz w:val="19"/>
                <w:szCs w:val="19"/>
              </w:rPr>
              <w:t xml:space="preserve"> in 2016/17</w:t>
            </w:r>
            <w:r w:rsidRPr="009F2023">
              <w:rPr>
                <w:sz w:val="19"/>
                <w:szCs w:val="19"/>
              </w:rPr>
              <w:t xml:space="preserve">. </w:t>
            </w:r>
            <w:r w:rsidR="002805BE">
              <w:rPr>
                <w:sz w:val="19"/>
                <w:szCs w:val="19"/>
              </w:rPr>
              <w:t xml:space="preserve"> The auditor donates the amount to local charities</w:t>
            </w:r>
          </w:p>
        </w:tc>
      </w:tr>
      <w:tr w:rsidR="00196BBE" w:rsidRPr="009F2023" w:rsidTr="00B351DB">
        <w:tc>
          <w:tcPr>
            <w:tcW w:w="675" w:type="dxa"/>
          </w:tcPr>
          <w:p w:rsidR="00196BBE" w:rsidRPr="009F2023" w:rsidRDefault="00196BBE" w:rsidP="00B351DB">
            <w:pPr>
              <w:rPr>
                <w:sz w:val="19"/>
                <w:szCs w:val="19"/>
              </w:rPr>
            </w:pPr>
            <w:r>
              <w:rPr>
                <w:sz w:val="19"/>
                <w:szCs w:val="19"/>
              </w:rPr>
              <w:t>7</w:t>
            </w:r>
          </w:p>
        </w:tc>
        <w:tc>
          <w:tcPr>
            <w:tcW w:w="8931" w:type="dxa"/>
          </w:tcPr>
          <w:p w:rsidR="00196BBE" w:rsidRPr="009F2023" w:rsidRDefault="00196BBE" w:rsidP="00196BBE">
            <w:pPr>
              <w:rPr>
                <w:sz w:val="19"/>
                <w:szCs w:val="19"/>
              </w:rPr>
            </w:pPr>
            <w:r>
              <w:rPr>
                <w:sz w:val="19"/>
                <w:szCs w:val="19"/>
              </w:rPr>
              <w:t>Although the audit is allegedly free, the auditor regularly finds new reasons to charge a fee</w:t>
            </w:r>
          </w:p>
        </w:tc>
      </w:tr>
      <w:tr w:rsidR="00F91C68" w:rsidRPr="009F2023" w:rsidTr="00B351DB">
        <w:tc>
          <w:tcPr>
            <w:tcW w:w="675" w:type="dxa"/>
          </w:tcPr>
          <w:p w:rsidR="00F91C68" w:rsidRPr="009F2023" w:rsidRDefault="00196BBE" w:rsidP="00B351DB">
            <w:pPr>
              <w:rPr>
                <w:sz w:val="19"/>
                <w:szCs w:val="19"/>
              </w:rPr>
            </w:pPr>
            <w:r>
              <w:rPr>
                <w:sz w:val="19"/>
                <w:szCs w:val="19"/>
              </w:rPr>
              <w:t>8</w:t>
            </w:r>
          </w:p>
        </w:tc>
        <w:tc>
          <w:tcPr>
            <w:tcW w:w="8931" w:type="dxa"/>
          </w:tcPr>
          <w:p w:rsidR="00F91C68" w:rsidRPr="009F2023" w:rsidRDefault="00F91C68" w:rsidP="002805BE">
            <w:pPr>
              <w:rPr>
                <w:sz w:val="19"/>
                <w:szCs w:val="19"/>
              </w:rPr>
            </w:pPr>
            <w:r w:rsidRPr="009F2023">
              <w:rPr>
                <w:sz w:val="19"/>
                <w:szCs w:val="19"/>
              </w:rPr>
              <w:t>The LPC has previously resolved to make incremental increases to the budget for the Clerk’s remuneration to redress the real term reduction in salary over the past ten years.</w:t>
            </w:r>
            <w:r w:rsidR="002805BE">
              <w:rPr>
                <w:sz w:val="19"/>
                <w:szCs w:val="19"/>
              </w:rPr>
              <w:t xml:space="preserve"> Thus, i</w:t>
            </w:r>
            <w:r w:rsidRPr="009F2023">
              <w:rPr>
                <w:sz w:val="19"/>
                <w:szCs w:val="19"/>
              </w:rPr>
              <w:t>t is proposed that an a</w:t>
            </w:r>
            <w:r w:rsidR="00D32404">
              <w:rPr>
                <w:sz w:val="19"/>
                <w:szCs w:val="19"/>
              </w:rPr>
              <w:t>dditional 5hrs is funded in 2017/18</w:t>
            </w:r>
            <w:r w:rsidRPr="009F2023">
              <w:rPr>
                <w:sz w:val="19"/>
                <w:szCs w:val="19"/>
              </w:rPr>
              <w:t xml:space="preserve">. This is not for the benefit of the incumbent (whose hours are well in excess of 70 hrs and therefore unpaid in part) but to work towards a realistic remuneration for a Parish Clerk for </w:t>
            </w:r>
            <w:proofErr w:type="spellStart"/>
            <w:r w:rsidRPr="009F2023">
              <w:rPr>
                <w:sz w:val="19"/>
                <w:szCs w:val="19"/>
              </w:rPr>
              <w:t>Loversall</w:t>
            </w:r>
            <w:proofErr w:type="spellEnd"/>
            <w:r w:rsidRPr="009F2023">
              <w:rPr>
                <w:sz w:val="19"/>
                <w:szCs w:val="19"/>
              </w:rPr>
              <w:t xml:space="preserve"> in the future.</w:t>
            </w:r>
            <w:r w:rsidR="00D32404">
              <w:rPr>
                <w:sz w:val="19"/>
                <w:szCs w:val="19"/>
              </w:rPr>
              <w:t xml:space="preserve"> There is also a small increase due to </w:t>
            </w:r>
            <w:r w:rsidR="002805BE">
              <w:rPr>
                <w:sz w:val="19"/>
                <w:szCs w:val="19"/>
              </w:rPr>
              <w:t xml:space="preserve">a </w:t>
            </w:r>
            <w:r w:rsidR="00D32404">
              <w:rPr>
                <w:sz w:val="19"/>
                <w:szCs w:val="19"/>
              </w:rPr>
              <w:t xml:space="preserve">1% </w:t>
            </w:r>
            <w:r w:rsidR="002805BE">
              <w:rPr>
                <w:sz w:val="19"/>
                <w:szCs w:val="19"/>
              </w:rPr>
              <w:t xml:space="preserve">national </w:t>
            </w:r>
            <w:r w:rsidR="00D32404">
              <w:rPr>
                <w:sz w:val="19"/>
                <w:szCs w:val="19"/>
              </w:rPr>
              <w:t>pay award</w:t>
            </w:r>
            <w:r w:rsidR="002805BE">
              <w:rPr>
                <w:sz w:val="19"/>
                <w:szCs w:val="19"/>
              </w:rPr>
              <w:t>.</w:t>
            </w:r>
          </w:p>
        </w:tc>
      </w:tr>
      <w:tr w:rsidR="00F91C68" w:rsidRPr="009F2023" w:rsidTr="00B351DB">
        <w:tc>
          <w:tcPr>
            <w:tcW w:w="675" w:type="dxa"/>
          </w:tcPr>
          <w:p w:rsidR="00F91C68" w:rsidRPr="009F2023" w:rsidRDefault="00196BBE" w:rsidP="00B351DB">
            <w:pPr>
              <w:rPr>
                <w:sz w:val="19"/>
                <w:szCs w:val="19"/>
              </w:rPr>
            </w:pPr>
            <w:r>
              <w:rPr>
                <w:sz w:val="19"/>
                <w:szCs w:val="19"/>
              </w:rPr>
              <w:t>9</w:t>
            </w:r>
          </w:p>
        </w:tc>
        <w:tc>
          <w:tcPr>
            <w:tcW w:w="8931" w:type="dxa"/>
          </w:tcPr>
          <w:p w:rsidR="002805BE" w:rsidRPr="009F2023" w:rsidRDefault="00F91C68" w:rsidP="002805BE">
            <w:pPr>
              <w:rPr>
                <w:sz w:val="19"/>
                <w:szCs w:val="19"/>
              </w:rPr>
            </w:pPr>
            <w:r w:rsidRPr="009F2023">
              <w:rPr>
                <w:sz w:val="19"/>
                <w:szCs w:val="19"/>
              </w:rPr>
              <w:t xml:space="preserve"> The table</w:t>
            </w:r>
            <w:r w:rsidR="00196BBE">
              <w:rPr>
                <w:sz w:val="19"/>
                <w:szCs w:val="19"/>
              </w:rPr>
              <w:t xml:space="preserve"> above</w:t>
            </w:r>
            <w:r w:rsidRPr="009F2023">
              <w:rPr>
                <w:sz w:val="19"/>
                <w:szCs w:val="19"/>
              </w:rPr>
              <w:t xml:space="preserve"> shows </w:t>
            </w:r>
            <w:proofErr w:type="gramStart"/>
            <w:r w:rsidR="00D32404">
              <w:rPr>
                <w:sz w:val="19"/>
                <w:szCs w:val="19"/>
              </w:rPr>
              <w:t xml:space="preserve">3 </w:t>
            </w:r>
            <w:r w:rsidRPr="009F2023">
              <w:rPr>
                <w:sz w:val="19"/>
                <w:szCs w:val="19"/>
              </w:rPr>
              <w:t xml:space="preserve"> options</w:t>
            </w:r>
            <w:proofErr w:type="gramEnd"/>
            <w:r w:rsidRPr="009F2023">
              <w:rPr>
                <w:sz w:val="19"/>
                <w:szCs w:val="19"/>
              </w:rPr>
              <w:t xml:space="preserve">. </w:t>
            </w:r>
            <w:r w:rsidR="002805BE">
              <w:rPr>
                <w:sz w:val="19"/>
                <w:szCs w:val="19"/>
              </w:rPr>
              <w:t xml:space="preserve"> (A) </w:t>
            </w:r>
            <w:proofErr w:type="gramStart"/>
            <w:r w:rsidR="002805BE">
              <w:rPr>
                <w:sz w:val="19"/>
                <w:szCs w:val="19"/>
              </w:rPr>
              <w:t>Does  not</w:t>
            </w:r>
            <w:proofErr w:type="gramEnd"/>
            <w:r w:rsidR="002805BE">
              <w:rPr>
                <w:sz w:val="19"/>
                <w:szCs w:val="19"/>
              </w:rPr>
              <w:t xml:space="preserve"> allow for any</w:t>
            </w:r>
            <w:r w:rsidRPr="009F2023">
              <w:rPr>
                <w:sz w:val="19"/>
                <w:szCs w:val="19"/>
              </w:rPr>
              <w:t xml:space="preserve"> </w:t>
            </w:r>
            <w:r w:rsidR="002805BE">
              <w:rPr>
                <w:sz w:val="19"/>
                <w:szCs w:val="19"/>
              </w:rPr>
              <w:t xml:space="preserve">incremental increase in Clerks hours (B) allows for incremental increase in hours  (C) Allows for increase in Clerks hours but  assumes that the web hosting will be paid from a continuation of the  “Transparency” grant and not from the precept. We have sufficient contingency funds to cover </w:t>
            </w:r>
            <w:r w:rsidR="00196BBE">
              <w:rPr>
                <w:sz w:val="19"/>
                <w:szCs w:val="19"/>
              </w:rPr>
              <w:t>the hosting costs</w:t>
            </w:r>
            <w:r w:rsidR="002805BE">
              <w:rPr>
                <w:sz w:val="19"/>
                <w:szCs w:val="19"/>
              </w:rPr>
              <w:t xml:space="preserve"> in </w:t>
            </w:r>
            <w:r w:rsidR="00196BBE">
              <w:rPr>
                <w:sz w:val="19"/>
                <w:szCs w:val="19"/>
              </w:rPr>
              <w:t xml:space="preserve">the </w:t>
            </w:r>
            <w:r w:rsidR="002805BE">
              <w:rPr>
                <w:sz w:val="19"/>
                <w:szCs w:val="19"/>
              </w:rPr>
              <w:t>event that a grant is not made</w:t>
            </w:r>
            <w:r w:rsidR="00196BBE">
              <w:rPr>
                <w:sz w:val="19"/>
                <w:szCs w:val="19"/>
              </w:rPr>
              <w:t>.</w:t>
            </w:r>
          </w:p>
          <w:p w:rsidR="00F91C68" w:rsidRPr="009F2023" w:rsidRDefault="00F91C68" w:rsidP="00B351DB">
            <w:pPr>
              <w:rPr>
                <w:sz w:val="19"/>
                <w:szCs w:val="19"/>
              </w:rPr>
            </w:pPr>
          </w:p>
        </w:tc>
      </w:tr>
    </w:tbl>
    <w:p w:rsidR="00F91C68" w:rsidRDefault="00F91C68" w:rsidP="00EF60AC">
      <w:pPr>
        <w:rPr>
          <w:sz w:val="20"/>
          <w:szCs w:val="20"/>
        </w:rPr>
      </w:pPr>
    </w:p>
    <w:p w:rsidR="00807881" w:rsidRDefault="00807881" w:rsidP="00EF60AC">
      <w:pPr>
        <w:rPr>
          <w:sz w:val="20"/>
          <w:szCs w:val="20"/>
        </w:rPr>
      </w:pPr>
      <w:r w:rsidRPr="00807881">
        <w:rPr>
          <w:sz w:val="20"/>
          <w:szCs w:val="20"/>
          <w:u w:val="double"/>
        </w:rPr>
        <w:t>Note</w:t>
      </w:r>
      <w:r>
        <w:rPr>
          <w:sz w:val="20"/>
          <w:szCs w:val="20"/>
        </w:rPr>
        <w:t>: The Parish Council at its meeting on 11</w:t>
      </w:r>
      <w:r w:rsidRPr="00807881">
        <w:rPr>
          <w:sz w:val="20"/>
          <w:szCs w:val="20"/>
          <w:vertAlign w:val="superscript"/>
        </w:rPr>
        <w:t>th</w:t>
      </w:r>
      <w:r>
        <w:rPr>
          <w:sz w:val="20"/>
          <w:szCs w:val="20"/>
        </w:rPr>
        <w:t xml:space="preserve"> January 2017 agreed to adopt “Option C”</w:t>
      </w:r>
    </w:p>
    <w:sectPr w:rsidR="00807881" w:rsidSect="006F559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F8" w:rsidRPr="009F2023" w:rsidRDefault="00615FF8" w:rsidP="00A81834">
      <w:pPr>
        <w:spacing w:after="0" w:line="240" w:lineRule="auto"/>
        <w:rPr>
          <w:sz w:val="20"/>
          <w:szCs w:val="20"/>
        </w:rPr>
      </w:pPr>
      <w:r w:rsidRPr="009F2023">
        <w:rPr>
          <w:sz w:val="20"/>
          <w:szCs w:val="20"/>
        </w:rPr>
        <w:separator/>
      </w:r>
    </w:p>
  </w:endnote>
  <w:endnote w:type="continuationSeparator" w:id="0">
    <w:p w:rsidR="00615FF8" w:rsidRPr="009F2023" w:rsidRDefault="00615FF8" w:rsidP="00A81834">
      <w:pPr>
        <w:spacing w:after="0" w:line="240" w:lineRule="auto"/>
        <w:rPr>
          <w:sz w:val="20"/>
          <w:szCs w:val="20"/>
        </w:rPr>
      </w:pPr>
      <w:r w:rsidRPr="009F2023">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F8" w:rsidRPr="009F2023" w:rsidRDefault="00615FF8" w:rsidP="00A81834">
      <w:pPr>
        <w:spacing w:after="0" w:line="240" w:lineRule="auto"/>
        <w:rPr>
          <w:sz w:val="20"/>
          <w:szCs w:val="20"/>
        </w:rPr>
      </w:pPr>
      <w:r w:rsidRPr="009F2023">
        <w:rPr>
          <w:sz w:val="20"/>
          <w:szCs w:val="20"/>
        </w:rPr>
        <w:separator/>
      </w:r>
    </w:p>
  </w:footnote>
  <w:footnote w:type="continuationSeparator" w:id="0">
    <w:p w:rsidR="00615FF8" w:rsidRPr="009F2023" w:rsidRDefault="00615FF8" w:rsidP="00A81834">
      <w:pPr>
        <w:spacing w:after="0" w:line="240" w:lineRule="auto"/>
        <w:rPr>
          <w:sz w:val="20"/>
          <w:szCs w:val="20"/>
        </w:rPr>
      </w:pPr>
      <w:r w:rsidRPr="009F2023">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34" w:rsidRPr="009F2023" w:rsidRDefault="00A81834">
    <w:pPr>
      <w:pStyle w:val="Header"/>
      <w:rPr>
        <w:sz w:val="20"/>
        <w:szCs w:val="20"/>
      </w:rPr>
    </w:pPr>
    <w:proofErr w:type="spellStart"/>
    <w:r w:rsidRPr="009F2023">
      <w:rPr>
        <w:sz w:val="20"/>
        <w:szCs w:val="20"/>
      </w:rPr>
      <w:t>Loversall</w:t>
    </w:r>
    <w:proofErr w:type="spellEnd"/>
    <w:r w:rsidRPr="009F2023">
      <w:rPr>
        <w:sz w:val="20"/>
        <w:szCs w:val="20"/>
      </w:rPr>
      <w:t xml:space="preserve"> Parish Council Meeting </w:t>
    </w:r>
    <w:r w:rsidR="00C16511">
      <w:rPr>
        <w:sz w:val="20"/>
        <w:szCs w:val="20"/>
      </w:rPr>
      <w:t>11</w:t>
    </w:r>
    <w:r w:rsidRPr="009F2023">
      <w:rPr>
        <w:sz w:val="20"/>
        <w:szCs w:val="20"/>
        <w:vertAlign w:val="superscript"/>
      </w:rPr>
      <w:t>th</w:t>
    </w:r>
    <w:r w:rsidRPr="009F2023">
      <w:rPr>
        <w:sz w:val="20"/>
        <w:szCs w:val="20"/>
      </w:rPr>
      <w:t xml:space="preserve"> January 201</w:t>
    </w:r>
    <w:r w:rsidR="00C16511">
      <w:rPr>
        <w:sz w:val="20"/>
        <w:szCs w:val="20"/>
      </w:rPr>
      <w:t>7</w:t>
    </w:r>
    <w:r w:rsidRPr="009F2023">
      <w:rPr>
        <w:sz w:val="20"/>
        <w:szCs w:val="20"/>
      </w:rPr>
      <w:t xml:space="preserve">                                                                     Agenda Item</w:t>
    </w:r>
    <w:r w:rsidR="00196BBE">
      <w:rPr>
        <w:sz w:val="20"/>
        <w:szCs w:val="20"/>
      </w:rPr>
      <w:t>s 5</w:t>
    </w:r>
    <w:r w:rsidR="00CF1647">
      <w:rPr>
        <w:sz w:val="20"/>
        <w:szCs w:val="20"/>
      </w:rPr>
      <w:t xml:space="preserve">c &amp; 5d  </w:t>
    </w:r>
    <w:r w:rsidR="00196BBE">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grammar="clean"/>
  <w:defaultTabStop w:val="720"/>
  <w:characterSpacingControl w:val="doNotCompress"/>
  <w:footnotePr>
    <w:footnote w:id="-1"/>
    <w:footnote w:id="0"/>
  </w:footnotePr>
  <w:endnotePr>
    <w:endnote w:id="-1"/>
    <w:endnote w:id="0"/>
  </w:endnotePr>
  <w:compat/>
  <w:rsids>
    <w:rsidRoot w:val="002B1416"/>
    <w:rsid w:val="0002708A"/>
    <w:rsid w:val="000D2838"/>
    <w:rsid w:val="00100D63"/>
    <w:rsid w:val="00170D91"/>
    <w:rsid w:val="0017401A"/>
    <w:rsid w:val="00196BBE"/>
    <w:rsid w:val="00197CCB"/>
    <w:rsid w:val="001B3098"/>
    <w:rsid w:val="001B7F2E"/>
    <w:rsid w:val="002474F5"/>
    <w:rsid w:val="002805BE"/>
    <w:rsid w:val="002B1416"/>
    <w:rsid w:val="002B2B3B"/>
    <w:rsid w:val="003345C1"/>
    <w:rsid w:val="00383F2E"/>
    <w:rsid w:val="003F04C5"/>
    <w:rsid w:val="003F780F"/>
    <w:rsid w:val="00486727"/>
    <w:rsid w:val="00491CBA"/>
    <w:rsid w:val="004B34BB"/>
    <w:rsid w:val="004E1C5B"/>
    <w:rsid w:val="00512A8A"/>
    <w:rsid w:val="005261F2"/>
    <w:rsid w:val="00570295"/>
    <w:rsid w:val="00586546"/>
    <w:rsid w:val="00590881"/>
    <w:rsid w:val="005B1B34"/>
    <w:rsid w:val="00615FF8"/>
    <w:rsid w:val="006F5594"/>
    <w:rsid w:val="0076150C"/>
    <w:rsid w:val="00807881"/>
    <w:rsid w:val="00866EE4"/>
    <w:rsid w:val="008B42F3"/>
    <w:rsid w:val="009439E0"/>
    <w:rsid w:val="009C7889"/>
    <w:rsid w:val="009F2023"/>
    <w:rsid w:val="009F3BBD"/>
    <w:rsid w:val="00A016D1"/>
    <w:rsid w:val="00A77160"/>
    <w:rsid w:val="00A81834"/>
    <w:rsid w:val="00AD0769"/>
    <w:rsid w:val="00AD1A63"/>
    <w:rsid w:val="00AE09E5"/>
    <w:rsid w:val="00AF1572"/>
    <w:rsid w:val="00B05162"/>
    <w:rsid w:val="00B33516"/>
    <w:rsid w:val="00B6486E"/>
    <w:rsid w:val="00BC6B30"/>
    <w:rsid w:val="00BF1C56"/>
    <w:rsid w:val="00C16511"/>
    <w:rsid w:val="00C4226A"/>
    <w:rsid w:val="00CF1647"/>
    <w:rsid w:val="00D07903"/>
    <w:rsid w:val="00D12FB1"/>
    <w:rsid w:val="00D32404"/>
    <w:rsid w:val="00D701F2"/>
    <w:rsid w:val="00DC68C6"/>
    <w:rsid w:val="00E030C4"/>
    <w:rsid w:val="00E0569A"/>
    <w:rsid w:val="00E44512"/>
    <w:rsid w:val="00EF60AC"/>
    <w:rsid w:val="00F33B2D"/>
    <w:rsid w:val="00F5679A"/>
    <w:rsid w:val="00F91C68"/>
    <w:rsid w:val="00FA478B"/>
    <w:rsid w:val="00FC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1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834"/>
    <w:rPr>
      <w:lang w:val="en-GB"/>
    </w:rPr>
  </w:style>
  <w:style w:type="paragraph" w:styleId="Footer">
    <w:name w:val="footer"/>
    <w:basedOn w:val="Normal"/>
    <w:link w:val="FooterChar"/>
    <w:uiPriority w:val="99"/>
    <w:semiHidden/>
    <w:unhideWhenUsed/>
    <w:rsid w:val="00A81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834"/>
    <w:rPr>
      <w:lang w:val="en-GB"/>
    </w:rPr>
  </w:style>
  <w:style w:type="paragraph" w:styleId="NoSpacing">
    <w:name w:val="No Spacing"/>
    <w:uiPriority w:val="1"/>
    <w:qFormat/>
    <w:rsid w:val="001B3098"/>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7593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F6F41-C65A-4C3A-B167-8E1305D3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16</cp:revision>
  <cp:lastPrinted>2017-01-10T16:09:00Z</cp:lastPrinted>
  <dcterms:created xsi:type="dcterms:W3CDTF">2017-01-06T20:39:00Z</dcterms:created>
  <dcterms:modified xsi:type="dcterms:W3CDTF">2017-03-03T17:44:00Z</dcterms:modified>
</cp:coreProperties>
</file>